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rPr>
          <w:rFonts w:ascii="方正小标宋简体" w:hAnsi="宋体" w:eastAsia="方正小标宋简体" w:cs="Times New Roman"/>
          <w:sz w:val="32"/>
          <w:szCs w:val="32"/>
        </w:rPr>
      </w:pPr>
      <w:bookmarkStart w:id="0" w:name="_GoBack"/>
      <w:bookmarkEnd w:id="0"/>
    </w:p>
    <w:p>
      <w:pPr>
        <w:spacing w:line="440" w:lineRule="exact"/>
        <w:ind w:firstLine="803" w:firstLineChars="200"/>
        <w:jc w:val="left"/>
        <w:rPr>
          <w:rFonts w:hint="eastAsia" w:ascii="仿宋_GB2312" w:hAnsi="Times New Roman" w:eastAsia="仿宋_GB2312" w:cs="Times New Roman"/>
          <w:b/>
          <w:bCs/>
          <w:sz w:val="40"/>
          <w:szCs w:val="40"/>
          <w:lang w:val="en-US" w:eastAsia="zh-CN"/>
          <w14:ligatures w14:val="none"/>
        </w:rPr>
      </w:pPr>
      <w:r>
        <w:rPr>
          <w:rFonts w:hint="eastAsia" w:ascii="仿宋_GB2312" w:hAnsi="Times New Roman" w:eastAsia="仿宋_GB2312" w:cs="Times New Roman"/>
          <w:b/>
          <w:bCs/>
          <w:sz w:val="40"/>
          <w:szCs w:val="40"/>
          <w:lang w:val="en-US" w:eastAsia="zh-CN"/>
          <w14:ligatures w14:val="none"/>
        </w:rPr>
        <w:t>职业教育实践性教学案例推荐参考指标</w:t>
      </w:r>
    </w:p>
    <w:tbl>
      <w:tblPr>
        <w:tblStyle w:val="9"/>
        <w:tblW w:w="9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7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747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8"/>
                <w:szCs w:val="28"/>
              </w:rPr>
              <w:t>推荐指标</w:t>
            </w:r>
          </w:p>
        </w:tc>
        <w:tc>
          <w:tcPr>
            <w:tcW w:w="729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74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教学设计</w:t>
            </w:r>
          </w:p>
        </w:tc>
        <w:tc>
          <w:tcPr>
            <w:tcW w:w="72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教学设计完整，包括教学目标、教学内容、教学实施、教学评价等，主题鲜明、重难点突出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74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72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教学策略和教学方法选用恰当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74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72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合理运用信息技术手段，突出专业特色，教学媒体运用适宜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74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280" w:firstLineChars="10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内容呈现</w:t>
            </w:r>
          </w:p>
        </w:tc>
        <w:tc>
          <w:tcPr>
            <w:tcW w:w="72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教学内容选取适当，相对稳定、独立完整，精准对位岗位能力和企业需要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74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72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呈现方式科学合理，语言简洁，表述准确，术语规范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74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72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注重交互设计，充分调动学生主动性和积极性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747" w:type="dxa"/>
            <w:vMerge w:val="restart"/>
            <w:vAlign w:val="center"/>
          </w:tcPr>
          <w:p>
            <w:pPr>
              <w:widowControl/>
              <w:spacing w:line="440" w:lineRule="exact"/>
              <w:ind w:firstLine="280" w:firstLineChars="100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教学实施</w:t>
            </w:r>
          </w:p>
        </w:tc>
        <w:tc>
          <w:tcPr>
            <w:tcW w:w="729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教学活动过程完整，材料齐全、丰富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747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729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有常态化教学应用，有利于形成基于信息化教育教学模式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47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729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注重校企合作，在教学活动过程中适当引入行业里手和能工巧匠，开展双师（多师）协同合作教学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747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应用与创新</w:t>
            </w:r>
          </w:p>
        </w:tc>
        <w:tc>
          <w:tcPr>
            <w:tcW w:w="729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在课程建设、教学实施、资源共享、机制创新等方面有一定特色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747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7290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教学效果突出，有规模化应用，创新人才培养模式，具有一定示范推广价值</w:t>
            </w:r>
          </w:p>
        </w:tc>
      </w:tr>
    </w:tbl>
    <w:p>
      <w:pPr>
        <w:widowControl/>
        <w:spacing w:line="440" w:lineRule="exact"/>
        <w:jc w:val="left"/>
        <w:rPr>
          <w:rFonts w:ascii="仿宋_GB2312" w:hAnsi="宋体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440" w:lineRule="exact"/>
        <w:ind w:firstLine="803" w:firstLineChars="200"/>
        <w:jc w:val="left"/>
        <w:rPr>
          <w:rFonts w:hint="eastAsia" w:ascii="仿宋_GB2312" w:hAnsi="Times New Roman" w:eastAsia="仿宋_GB2312" w:cs="Times New Roman"/>
          <w:b/>
          <w:bCs/>
          <w:sz w:val="40"/>
          <w:szCs w:val="40"/>
          <w:lang w:val="en-US" w:eastAsia="zh-CN"/>
          <w14:ligatures w14:val="none"/>
        </w:rPr>
      </w:pPr>
      <w:r>
        <w:rPr>
          <w:rFonts w:hint="eastAsia" w:ascii="仿宋_GB2312" w:hAnsi="Times New Roman" w:eastAsia="仿宋_GB2312" w:cs="Times New Roman"/>
          <w:b/>
          <w:bCs/>
          <w:sz w:val="40"/>
          <w:szCs w:val="40"/>
          <w:lang w:val="en-US" w:eastAsia="zh-CN"/>
          <w14:ligatures w14:val="none"/>
        </w:rPr>
        <w:t>职业教育虚拟仿真教学案例推荐参考指标</w:t>
      </w:r>
    </w:p>
    <w:tbl>
      <w:tblPr>
        <w:tblStyle w:val="9"/>
        <w:tblW w:w="87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66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推荐指标</w:t>
            </w:r>
          </w:p>
        </w:tc>
        <w:tc>
          <w:tcPr>
            <w:tcW w:w="71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668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280" w:firstLineChars="100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教学设计</w:t>
            </w:r>
          </w:p>
        </w:tc>
        <w:tc>
          <w:tcPr>
            <w:tcW w:w="71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教学设计规范，包括教学目标、教学内容、教学实施、教学评价等，主题鲜明、重难点突出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6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1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教学策略和教学方法选用得当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6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1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虚拟仿真系统运用科学、合理，解决教学中的瓶颈难题，突出专业特色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668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280" w:firstLineChars="100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内容呈现</w:t>
            </w:r>
          </w:p>
        </w:tc>
        <w:tc>
          <w:tcPr>
            <w:tcW w:w="71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教学内容选取适当，相对稳定、独立完整，精准对位岗位能力培养和企业发展需要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6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1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呈现方式科学合理，语言简洁，表述准确，术语规范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66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1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注重交互设计，充分调动学生主动性和积极性，满足自主学习和技能训练需要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68" w:type="dxa"/>
            <w:vMerge w:val="restart"/>
            <w:vAlign w:val="center"/>
          </w:tcPr>
          <w:p>
            <w:pPr>
              <w:widowControl/>
              <w:spacing w:line="440" w:lineRule="exact"/>
              <w:ind w:firstLine="280" w:firstLineChars="100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教学实施</w:t>
            </w:r>
          </w:p>
        </w:tc>
        <w:tc>
          <w:tcPr>
            <w:tcW w:w="7111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教学活动过程完整，材料齐全、丰富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68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111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有常态化教学应用，有利于形成基于虚拟仿真系统的教育教学模式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68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111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注重校企合作，在教学活动过程中适当引入行业里手和能工巧匠，开展双师（多师）协同合作教学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668" w:type="dxa"/>
            <w:vMerge w:val="restart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应用与创新</w:t>
            </w:r>
          </w:p>
        </w:tc>
        <w:tc>
          <w:tcPr>
            <w:tcW w:w="7111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在课程建设、教学实施、资源共建共享、实践性教学改革、机制创新等方面有一定特色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668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111" w:type="dxa"/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教学效果突出，有规模化应用，创新人才培养模式，具有一定示范推广价值</w:t>
            </w:r>
          </w:p>
        </w:tc>
      </w:tr>
    </w:tbl>
    <w:p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Times New Roman"/>
          <w:sz w:val="32"/>
          <w:szCs w:val="32"/>
        </w:rPr>
      </w:pPr>
    </w:p>
    <w:p>
      <w:pPr>
        <w:widowControl/>
        <w:jc w:val="center"/>
        <w:rPr>
          <w:rFonts w:hint="eastAsia" w:ascii="方正小标宋简体" w:hAnsi="Times New Roman" w:eastAsia="方正小标宋简体" w:cs="Times New Roman"/>
          <w:sz w:val="32"/>
          <w:szCs w:val="32"/>
        </w:rPr>
      </w:pPr>
    </w:p>
    <w:p>
      <w:pPr>
        <w:spacing w:line="440" w:lineRule="exact"/>
        <w:ind w:firstLine="1205" w:firstLineChars="300"/>
        <w:jc w:val="left"/>
        <w:rPr>
          <w:rFonts w:hint="eastAsia" w:ascii="仿宋_GB2312" w:hAnsi="Times New Roman" w:eastAsia="仿宋_GB2312" w:cs="Times New Roman"/>
          <w:b/>
          <w:bCs/>
          <w:sz w:val="40"/>
          <w:szCs w:val="40"/>
          <w:lang w:val="en-US" w:eastAsia="zh-CN"/>
          <w14:ligatures w14:val="none"/>
        </w:rPr>
      </w:pPr>
      <w:r>
        <w:rPr>
          <w:rFonts w:hint="eastAsia" w:ascii="仿宋_GB2312" w:hAnsi="Times New Roman" w:eastAsia="仿宋_GB2312" w:cs="Times New Roman"/>
          <w:b/>
          <w:bCs/>
          <w:sz w:val="40"/>
          <w:szCs w:val="40"/>
          <w:lang w:val="en-US" w:eastAsia="zh-CN"/>
          <w14:ligatures w14:val="none"/>
        </w:rPr>
        <w:t>职业教育数字教材推荐参考指标</w:t>
      </w:r>
    </w:p>
    <w:tbl>
      <w:tblPr>
        <w:tblStyle w:val="4"/>
        <w:tblW w:w="887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722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64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推荐指标</w:t>
            </w:r>
          </w:p>
        </w:tc>
        <w:tc>
          <w:tcPr>
            <w:tcW w:w="722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648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教材内容</w:t>
            </w:r>
          </w:p>
        </w:tc>
        <w:tc>
          <w:tcPr>
            <w:tcW w:w="7229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思想观点正确，无政治性、科学性错误。突出立德树人为本，注重培育和践行社会主义核心价值观，融入课程思政相关内容。体现知行合一、工学结合、校企深度合作理念，创新能力、工匠精神、职业精神的培养贯穿教材始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4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结构设计完整规范，以真实生产项目、典型工作任务、案例等为载体设计和组织教学内容，各模块/项目之间层次分明，结构清晰，突出结构化、模块化教学特征，符合行动逻辑、工作逻辑、产学研融合的要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教学目标明确，符合技术技能人才成长规律、课程内在逻辑体系和学生认知发展规律，课程建设与教材开发同步推进，取材得当，支持学生自主学习和教师教学需求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1648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媒体设计</w:t>
            </w:r>
          </w:p>
        </w:tc>
        <w:tc>
          <w:tcPr>
            <w:tcW w:w="722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多媒体教学资源适度、丰富，格式选用恰当，体现专业或课程特色，所有多媒体资源均可正常打开和查看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交互设计科学合理、丰富多样、层次分明，提供及时有效的教学反馈，支持个性化学习路径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界面设计简明，布局合理、新颖，导航清晰，主次分明，整体风格统一。文字规范，语言通俗易懂、简明流畅，条理清晰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色彩搭配协调，重点突出，符合视觉心理，有助于激发学习兴趣、获得美的学习体验和职业审美享受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648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应用与创新</w:t>
            </w:r>
          </w:p>
        </w:tc>
        <w:tc>
          <w:tcPr>
            <w:tcW w:w="722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在教学中开展了实践应用，创新了教学模式，取得较好的教学效果，具有一定示范推广价值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属于新兴专业、薄弱专业、新增和内涵升级明显的专业课程数字教材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充分体现工学结合，注重培养职业迁移能力，合理融入立德树人、课程思政内容，培养学生自主学习能力和职业素养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教材建设团队人员结构合理，包括领域专家、科研人员、一线教师、行业企业技术人员等，注重与企业行业深度合作开发教材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648" w:type="dxa"/>
            <w:vMerge w:val="restart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技术规范</w:t>
            </w:r>
          </w:p>
        </w:tc>
        <w:tc>
          <w:tcPr>
            <w:tcW w:w="722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技术指标符合国家相关标准和要求，数字资源适度、够用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648" w:type="dxa"/>
            <w:vMerge w:val="continue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采用主流文件格式，支持多终端应用，多媒体资源播放流畅，声音、画面清晰</w:t>
            </w:r>
          </w:p>
        </w:tc>
      </w:tr>
    </w:tbl>
    <w:p>
      <w:pPr>
        <w:spacing w:line="440" w:lineRule="exact"/>
        <w:ind w:firstLine="803" w:firstLineChars="200"/>
        <w:jc w:val="left"/>
        <w:rPr>
          <w:rFonts w:hint="eastAsia" w:ascii="仿宋_GB2312" w:hAnsi="Times New Roman" w:eastAsia="仿宋_GB2312" w:cs="Times New Roman"/>
          <w:b/>
          <w:bCs/>
          <w:sz w:val="40"/>
          <w:szCs w:val="40"/>
          <w:lang w:val="en-US" w:eastAsia="zh-CN"/>
          <w14:ligatures w14:val="none"/>
        </w:rPr>
      </w:pPr>
      <w:r>
        <w:rPr>
          <w:rFonts w:hint="eastAsia" w:ascii="仿宋_GB2312" w:hAnsi="Times New Roman" w:eastAsia="仿宋_GB2312" w:cs="Times New Roman"/>
          <w:b/>
          <w:bCs/>
          <w:sz w:val="40"/>
          <w:szCs w:val="40"/>
          <w:lang w:val="en-US" w:eastAsia="zh-CN"/>
          <w14:ligatures w14:val="none"/>
        </w:rPr>
        <w:t>职业教育数字教材样章推荐参考指标</w:t>
      </w:r>
    </w:p>
    <w:tbl>
      <w:tblPr>
        <w:tblStyle w:val="4"/>
        <w:tblW w:w="826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686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394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推荐指标</w:t>
            </w: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2" w:hRule="atLeast"/>
          <w:jc w:val="center"/>
        </w:trPr>
        <w:tc>
          <w:tcPr>
            <w:tcW w:w="1394" w:type="dxa"/>
            <w:vMerge w:val="restart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教材内容</w:t>
            </w: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思想观点正确，符合辩正唯物主义，无政治性、科学性错误。突出立德树人为本，注重培育和践行社会主义核心价值观，融入课程思政相关内容。体现知行合一、工学结合、校企深度合作理念，创新能力、工匠精神、职业精神的培养贯穿教材始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样章取材得当，内容独立、完整，容量适宜，具有较好的代表性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教学目标明确，符合技术技能人才成长规律、课程内在逻辑体系和学生认知发展规律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以真实生产项目、典型工作任务、案例等为载体设计和组织教学内容，突出结构化、模块化教学特征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  <w:jc w:val="center"/>
        </w:trPr>
        <w:tc>
          <w:tcPr>
            <w:tcW w:w="1394" w:type="dxa"/>
            <w:vMerge w:val="restart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教材设计</w:t>
            </w: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教材目录体系设计清晰，层次递进，体现整本教材设计思路和模块化设计理念，具有一定扩展性，便于灵活更新教材内容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交互设计科学合理、丰富多样、层次分明，提供及时有效的教学反馈，支持个性化学习路径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教材建设团队人员结构合理，包括领域专家、科研人员、一线教师、行业企业技术人员等，注重与企业行业深度合作开发教材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1394" w:type="dxa"/>
            <w:vMerge w:val="restart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媒体设计</w:t>
            </w: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多媒体教学资源丰富，格式选用恰当，体现专业或课程特色，所有多媒体资源均可正常打开和查看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界面设计简明，布局合理、新颖，导航清晰，主次分明，整体风格统一。文字规范，语言通俗易懂、简明流畅，条理清晰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色彩搭配协调，重点突出，符合视觉心理，有助于激发学习兴趣、获得美的学习体验和职业审美享受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1394" w:type="dxa"/>
            <w:vMerge w:val="restart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技术规范</w:t>
            </w: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技术指标符合国家相关标准和要求，数字资源适度、够用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1394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686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</w:rPr>
              <w:t>采用主流文件格式，支持多终端应用，多媒体资源播放流畅，声音、画面清晰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21 -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3Y2MxMDZkZTdhYWVkNDFlMmFiYTg5MmQzNTRhMmEifQ=="/>
  </w:docVars>
  <w:rsids>
    <w:rsidRoot w:val="00AB3FC9"/>
    <w:rsid w:val="00AB3FC9"/>
    <w:rsid w:val="00AC0352"/>
    <w:rsid w:val="00D00A5F"/>
    <w:rsid w:val="7754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rPr>
      <w14:ligatures w14:val="none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  <w14:ligatures w14:val="none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  <w14:ligatures w14:val="none"/>
    </w:rPr>
  </w:style>
  <w:style w:type="table" w:customStyle="1" w:styleId="9">
    <w:name w:val="网格型1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2046</Words>
  <Characters>2046</Characters>
  <Lines>15</Lines>
  <Paragraphs>4</Paragraphs>
  <TotalTime>4</TotalTime>
  <ScaleCrop>false</ScaleCrop>
  <LinksUpToDate>false</LinksUpToDate>
  <CharactersWithSpaces>2046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2023-03-16T07:13:00Z</dcterms:created>
  <dc:creator>成 阿毛</dc:creator>
  <cp:lastModifiedBy>小辉辉</cp:lastModifiedBy>
  <dcterms:modified xsi:type="dcterms:W3CDTF">2024-05-28T03:48:20Z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4C64DC5617424139B3B570652C35C758_12</vt:lpwstr>
  </property>
</Properties>
</file>