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C55F7">
      <w:pPr>
        <w:pStyle w:val="2"/>
        <w:spacing w:before="0" w:after="0" w:line="560" w:lineRule="exact"/>
        <w:jc w:val="left"/>
        <w:rPr>
          <w:rFonts w:ascii="黑体" w:hAnsi="黑体" w:eastAsia="黑体" w:cs="黑体"/>
          <w:b w:val="0"/>
          <w:bCs/>
          <w:sz w:val="32"/>
          <w:szCs w:val="32"/>
        </w:rPr>
      </w:pPr>
      <w:r>
        <w:rPr>
          <w:rFonts w:hint="eastAsia" w:ascii="黑体" w:hAnsi="黑体" w:eastAsia="黑体" w:cs="黑体"/>
          <w:b w:val="0"/>
          <w:bCs/>
          <w:sz w:val="32"/>
          <w:szCs w:val="32"/>
        </w:rPr>
        <w:t>附件1</w:t>
      </w:r>
    </w:p>
    <w:p w14:paraId="2AE7CCFA">
      <w:pPr>
        <w:spacing w:line="560" w:lineRule="exact"/>
        <w:ind w:firstLine="420" w:firstLineChars="200"/>
        <w:rPr>
          <w:rFonts w:ascii="Times New Roman" w:hAnsi="Times New Roman" w:eastAsia="方正仿宋_GB2312"/>
        </w:rPr>
      </w:pPr>
    </w:p>
    <w:p w14:paraId="08C93EA0">
      <w:pPr>
        <w:pStyle w:val="2"/>
        <w:spacing w:before="0" w:after="0" w:line="560" w:lineRule="exact"/>
        <w:jc w:val="center"/>
        <w:rPr>
          <w:rFonts w:ascii="方正小标宋简体" w:hAnsi="方正小标宋简体" w:eastAsia="方正小标宋简体" w:cs="方正小标宋简体"/>
          <w:b w:val="0"/>
          <w:bCs/>
        </w:rPr>
      </w:pPr>
      <w:r>
        <w:rPr>
          <w:rFonts w:hint="eastAsia" w:ascii="方正小标宋简体" w:hAnsi="方正小标宋简体" w:eastAsia="方正小标宋简体" w:cs="方正小标宋简体"/>
          <w:b w:val="0"/>
          <w:bCs/>
        </w:rPr>
        <w:t>课题申报指南（首批）</w:t>
      </w:r>
    </w:p>
    <w:p w14:paraId="31325633">
      <w:bookmarkStart w:id="0" w:name="_GoBack"/>
      <w:bookmarkEnd w:id="0"/>
    </w:p>
    <w:p w14:paraId="27313801">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本研究聚焦数智课程设计师的标准体系建设、AI+专业课程数智化课例开发两大方向，</w:t>
      </w:r>
      <w:r>
        <w:rPr>
          <w:rFonts w:hint="eastAsia" w:ascii="Times New Roman" w:hAnsi="Times New Roman" w:eastAsia="方正仿宋_GB2312" w:cstheme="minorEastAsia"/>
          <w:sz w:val="32"/>
          <w:szCs w:val="32"/>
        </w:rPr>
        <w:t>申报单位可结合应用实际，明确研究重点，根据自身优势和特色进行选报。</w:t>
      </w:r>
    </w:p>
    <w:p w14:paraId="079E0424">
      <w:pPr>
        <w:pStyle w:val="2"/>
        <w:spacing w:before="0" w:after="0" w:line="560" w:lineRule="exact"/>
        <w:ind w:firstLine="640" w:firstLineChars="200"/>
        <w:rPr>
          <w:rFonts w:ascii="黑体" w:hAnsi="黑体" w:eastAsia="黑体" w:cs="黑体"/>
          <w:b w:val="0"/>
          <w:bCs/>
          <w:sz w:val="32"/>
          <w:szCs w:val="32"/>
        </w:rPr>
      </w:pPr>
      <w:r>
        <w:rPr>
          <w:rFonts w:hint="eastAsia" w:ascii="黑体" w:hAnsi="黑体" w:eastAsia="黑体" w:cs="黑体"/>
          <w:b w:val="0"/>
          <w:bCs/>
          <w:sz w:val="32"/>
          <w:szCs w:val="32"/>
        </w:rPr>
        <w:t>一、课题方向</w:t>
      </w:r>
    </w:p>
    <w:p w14:paraId="688C79BA">
      <w:pPr>
        <w:pStyle w:val="3"/>
        <w:spacing w:before="0" w:after="0" w:line="560" w:lineRule="exact"/>
        <w:ind w:firstLine="643" w:firstLineChars="200"/>
        <w:rPr>
          <w:rFonts w:ascii="楷体" w:hAnsi="楷体" w:eastAsia="楷体" w:cs="楷体"/>
          <w:szCs w:val="32"/>
        </w:rPr>
      </w:pPr>
      <w:r>
        <w:rPr>
          <w:rFonts w:hint="eastAsia" w:ascii="楷体" w:hAnsi="楷体" w:eastAsia="楷体" w:cs="楷体"/>
          <w:szCs w:val="32"/>
        </w:rPr>
        <w:t>（一）数智课程设计师的标准体系建设</w:t>
      </w:r>
    </w:p>
    <w:p w14:paraId="427A0309">
      <w:pPr>
        <w:pStyle w:val="4"/>
        <w:spacing w:before="0" w:after="0" w:line="560" w:lineRule="exact"/>
        <w:ind w:firstLine="640" w:firstLineChars="200"/>
        <w:rPr>
          <w:rFonts w:ascii="Times New Roman" w:hAnsi="Times New Roman" w:eastAsia="方正仿宋_GB2312"/>
          <w:b w:val="0"/>
          <w:bCs/>
          <w:szCs w:val="32"/>
        </w:rPr>
      </w:pPr>
      <w:r>
        <w:rPr>
          <w:rFonts w:hint="eastAsia" w:ascii="Times New Roman" w:hAnsi="Times New Roman" w:eastAsia="方正仿宋_GB2312" w:cstheme="minorEastAsia"/>
          <w:b w:val="0"/>
          <w:bCs/>
          <w:szCs w:val="32"/>
        </w:rPr>
        <w:t>1.标准、角色与素养研究</w:t>
      </w:r>
    </w:p>
    <w:p w14:paraId="14F92F39">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cstheme="minorEastAsia"/>
          <w:sz w:val="32"/>
          <w:szCs w:val="32"/>
        </w:rPr>
        <w:t>（1）</w:t>
      </w:r>
      <w:r>
        <w:rPr>
          <w:rFonts w:hint="eastAsia" w:ascii="Times New Roman" w:hAnsi="Times New Roman" w:eastAsia="方正仿宋_GB2312"/>
          <w:sz w:val="32"/>
          <w:szCs w:val="32"/>
        </w:rPr>
        <w:t>数智课程设计师培育标准体系（课程、师资、实训）构建与实施研究</w:t>
      </w:r>
    </w:p>
    <w:p w14:paraId="1440457E">
      <w:pPr>
        <w:spacing w:line="560" w:lineRule="exact"/>
        <w:ind w:firstLine="640" w:firstLineChars="20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（2）产教融合视角下数智课程设计师协同培育机制研究</w:t>
      </w:r>
    </w:p>
    <w:p w14:paraId="172D2761">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（3）AI驱动的个性化学习路径生成模型研究</w:t>
      </w:r>
    </w:p>
    <w:p w14:paraId="686D4F22">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（4）数据合规导向下数智化课程设计的伦理规范与评价标准研究</w:t>
      </w:r>
    </w:p>
    <w:p w14:paraId="4D94A3A7">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（5）基于设计思维与敏捷开发理念的数智课程设计方法论研究</w:t>
      </w:r>
    </w:p>
    <w:p w14:paraId="416BDAFB">
      <w:pPr>
        <w:pStyle w:val="4"/>
        <w:spacing w:before="0" w:after="0" w:line="560" w:lineRule="exact"/>
        <w:ind w:firstLine="640" w:firstLineChars="200"/>
        <w:rPr>
          <w:rFonts w:ascii="Times New Roman" w:hAnsi="Times New Roman" w:eastAsia="方正仿宋_GB2312"/>
          <w:b w:val="0"/>
          <w:bCs/>
          <w:szCs w:val="32"/>
        </w:rPr>
      </w:pPr>
      <w:r>
        <w:rPr>
          <w:rFonts w:hint="eastAsia" w:ascii="Times New Roman" w:hAnsi="Times New Roman" w:eastAsia="方正仿宋_GB2312" w:cstheme="minorEastAsia"/>
          <w:b w:val="0"/>
          <w:bCs/>
          <w:szCs w:val="32"/>
        </w:rPr>
        <w:t>2.培养、实施与机制研究</w:t>
      </w:r>
    </w:p>
    <w:p w14:paraId="08578F1A">
      <w:pPr>
        <w:numPr>
          <w:ilvl w:val="0"/>
          <w:numId w:val="1"/>
        </w:num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数智化课程设计师综合素养画像研究</w:t>
      </w:r>
    </w:p>
    <w:p w14:paraId="6DBCEE1C">
      <w:pPr>
        <w:numPr>
          <w:ilvl w:val="0"/>
          <w:numId w:val="1"/>
        </w:num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sz w:val="32"/>
          <w:szCs w:val="32"/>
        </w:rPr>
        <w:t>高校教师数智素养框架与数智课程设计师能力标准研究</w:t>
      </w:r>
    </w:p>
    <w:p w14:paraId="4EBE9E99">
      <w:pPr>
        <w:numPr>
          <w:ilvl w:val="0"/>
          <w:numId w:val="1"/>
        </w:num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面向人机协同教学的数智课程设计师角色与能力重构研究</w:t>
      </w:r>
    </w:p>
    <w:p w14:paraId="05875801">
      <w:pPr>
        <w:numPr>
          <w:ilvl w:val="0"/>
          <w:numId w:val="1"/>
        </w:numPr>
        <w:spacing w:line="560" w:lineRule="exact"/>
        <w:ind w:firstLine="640" w:firstLineChars="200"/>
        <w:outlineLvl w:val="0"/>
        <w:rPr>
          <w:rFonts w:ascii="Times New Roman" w:hAnsi="Times New Roman" w:eastAsia="方正仿宋_GB2312" w:cstheme="minorEastAsia"/>
          <w:sz w:val="32"/>
          <w:szCs w:val="32"/>
        </w:rPr>
      </w:pPr>
      <w:r>
        <w:rPr>
          <w:rFonts w:ascii="Times New Roman" w:hAnsi="Times New Roman" w:eastAsia="方正仿宋_GB2312" w:cstheme="minorEastAsia"/>
          <w:sz w:val="32"/>
          <w:szCs w:val="32"/>
        </w:rPr>
        <w:t>数智课程设计师的“微认证”体系与持续专业发展模式研究</w:t>
      </w:r>
    </w:p>
    <w:p w14:paraId="01FD2EE4">
      <w:pPr>
        <w:numPr>
          <w:ilvl w:val="0"/>
          <w:numId w:val="1"/>
        </w:num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基于数字孪生技术的虚拟教研与课程设计仿真平台构建研究</w:t>
      </w:r>
    </w:p>
    <w:p w14:paraId="0F03D575">
      <w:pPr>
        <w:pStyle w:val="3"/>
        <w:spacing w:before="0" w:after="0" w:line="560" w:lineRule="exact"/>
        <w:ind w:firstLine="643" w:firstLineChars="200"/>
        <w:rPr>
          <w:rFonts w:ascii="楷体" w:hAnsi="楷体" w:eastAsia="楷体" w:cs="楷体"/>
          <w:szCs w:val="32"/>
        </w:rPr>
      </w:pPr>
      <w:r>
        <w:rPr>
          <w:rFonts w:hint="eastAsia" w:ascii="楷体" w:hAnsi="楷体" w:eastAsia="楷体" w:cs="楷体"/>
          <w:szCs w:val="32"/>
        </w:rPr>
        <w:t>（二）AI+专业课程数智化课例开发（可自行选定专业方向）</w:t>
      </w:r>
    </w:p>
    <w:p w14:paraId="22B71EE5">
      <w:pPr>
        <w:pStyle w:val="4"/>
        <w:spacing w:before="0" w:after="0" w:line="560" w:lineRule="exact"/>
        <w:ind w:firstLine="640" w:firstLineChars="200"/>
        <w:rPr>
          <w:rFonts w:ascii="Times New Roman" w:hAnsi="Times New Roman" w:eastAsia="方正仿宋_GB2312" w:cstheme="minorEastAsia"/>
          <w:b w:val="0"/>
          <w:bCs/>
          <w:szCs w:val="32"/>
        </w:rPr>
      </w:pPr>
      <w:r>
        <w:rPr>
          <w:rFonts w:hint="eastAsia" w:ascii="Times New Roman" w:hAnsi="Times New Roman" w:eastAsia="方正仿宋_GB2312" w:cstheme="minorEastAsia"/>
          <w:b w:val="0"/>
          <w:bCs/>
          <w:szCs w:val="32"/>
        </w:rPr>
        <w:t>1.专业定位与需求适配研究</w:t>
      </w:r>
    </w:p>
    <w:p w14:paraId="736E0CBE">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（1）数据要素应用型专业动态适配机制研究——基于产业需求的职业院校专业设置优化</w:t>
      </w:r>
    </w:p>
    <w:p w14:paraId="2535FC23">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（2）产业AI应用场景与岗位能力需求动态调研</w:t>
      </w:r>
    </w:p>
    <w:p w14:paraId="6BBFAAAA">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（3）职业教育（中/高职）AI+专业课程定位差异化研究</w:t>
      </w:r>
    </w:p>
    <w:p w14:paraId="31D7DEC7">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（4）政策导向下AI+专业课程目标与产业需求适配性研究</w:t>
      </w:r>
    </w:p>
    <w:p w14:paraId="60D0C6DA">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（5）传统康养课程与AI技术融合的知识技能缺口诊断研究</w:t>
      </w:r>
    </w:p>
    <w:p w14:paraId="463BD727">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（6）区域特色数据要素技能人才培养模式研究——以地方优势产业赋能为导向</w:t>
      </w:r>
    </w:p>
    <w:p w14:paraId="6592BCFE">
      <w:pPr>
        <w:pStyle w:val="4"/>
        <w:spacing w:before="0" w:after="0" w:line="560" w:lineRule="exact"/>
        <w:ind w:firstLine="640" w:firstLineChars="200"/>
        <w:rPr>
          <w:rFonts w:ascii="Times New Roman" w:hAnsi="Times New Roman" w:eastAsia="方正仿宋_GB2312" w:cstheme="minorEastAsia"/>
          <w:b w:val="0"/>
          <w:bCs/>
          <w:szCs w:val="32"/>
        </w:rPr>
      </w:pPr>
      <w:r>
        <w:rPr>
          <w:rFonts w:hint="eastAsia" w:ascii="Times New Roman" w:hAnsi="Times New Roman" w:eastAsia="方正仿宋_GB2312" w:cstheme="minorEastAsia"/>
          <w:b w:val="0"/>
          <w:bCs/>
          <w:szCs w:val="32"/>
        </w:rPr>
        <w:t>2.数字资源开发与应用研究</w:t>
      </w:r>
    </w:p>
    <w:p w14:paraId="105908F8">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（1）AI+专业核心教材（含企业案例）编写范式研究</w:t>
      </w:r>
    </w:p>
    <w:p w14:paraId="4FCB3797">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（2）虚拟仿真（XR/AI系统模拟）资源开发研究</w:t>
      </w:r>
    </w:p>
    <w:p w14:paraId="12EDBB2F">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（3）基于大模型的AI专业教学智能体开发研究</w:t>
      </w:r>
    </w:p>
    <w:p w14:paraId="77803340">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（4）线上线下融合的AI专业数字资源库建设与应用研究</w:t>
      </w:r>
    </w:p>
    <w:p w14:paraId="104D3F2F">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（5）AI+专业数字远程实训平台开发与运营研究</w:t>
      </w:r>
    </w:p>
    <w:p w14:paraId="37A48C43">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（6）基于AI的恶意代码智能分析与检测教学案例开发</w:t>
      </w:r>
    </w:p>
    <w:p w14:paraId="7BF3EDEB">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（7）基于大模型辅助的网络安全课程开发与应用研究</w:t>
      </w:r>
    </w:p>
    <w:p w14:paraId="14B0FB61">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（8）基于“赛课联动”的职业院校数据技能课程体系与教材开发研究</w:t>
      </w:r>
    </w:p>
    <w:p w14:paraId="14EFD6BD">
      <w:pPr>
        <w:pStyle w:val="4"/>
        <w:spacing w:before="0" w:after="0" w:line="560" w:lineRule="exact"/>
        <w:ind w:firstLine="640" w:firstLineChars="200"/>
        <w:rPr>
          <w:rFonts w:ascii="Times New Roman" w:hAnsi="Times New Roman" w:eastAsia="方正仿宋_GB2312" w:cstheme="minorEastAsia"/>
          <w:b w:val="0"/>
          <w:bCs/>
          <w:szCs w:val="32"/>
        </w:rPr>
      </w:pPr>
      <w:r>
        <w:rPr>
          <w:rFonts w:hint="eastAsia" w:ascii="Times New Roman" w:hAnsi="Times New Roman" w:eastAsia="方正仿宋_GB2312" w:cstheme="minorEastAsia"/>
          <w:b w:val="0"/>
          <w:bCs/>
          <w:szCs w:val="32"/>
        </w:rPr>
        <w:t>3.产教协同与评价机制研究</w:t>
      </w:r>
    </w:p>
    <w:p w14:paraId="071D3B11">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（1）职业院校数据要素领域“产教融合共同体”建设与实践研究</w:t>
      </w:r>
    </w:p>
    <w:p w14:paraId="570A7AA2">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（2）“AI+专业”产业学院共建模式与运行机制研究</w:t>
      </w:r>
    </w:p>
    <w:p w14:paraId="6BE80695">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（3）订单式AI专业人才培养的课程适配机制研究</w:t>
      </w:r>
    </w:p>
    <w:p w14:paraId="3E503C4B">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（4）“双师型”AI+教师队伍建设路径与培养研究</w:t>
      </w:r>
    </w:p>
    <w:p w14:paraId="04DFA105">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（5）数据要素技能型人才“双师型+工学一体化”师资队伍建设研究</w:t>
      </w:r>
    </w:p>
    <w:p w14:paraId="77195441">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（6）数据要素技能型人才多元化评价体系构建研究</w:t>
      </w:r>
    </w:p>
    <w:p w14:paraId="427C2F8A">
      <w:pPr>
        <w:spacing w:line="560" w:lineRule="exact"/>
        <w:ind w:firstLine="640" w:firstLineChars="200"/>
        <w:outlineLvl w:val="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（7）校企协同的数据要素实训资源共建共享机制研究</w:t>
      </w:r>
    </w:p>
    <w:p w14:paraId="7D815B41">
      <w:pPr>
        <w:pStyle w:val="4"/>
        <w:spacing w:before="0" w:after="0" w:line="560" w:lineRule="exact"/>
        <w:ind w:firstLine="640" w:firstLineChars="200"/>
        <w:rPr>
          <w:rFonts w:ascii="Times New Roman" w:hAnsi="Times New Roman" w:eastAsia="方正仿宋_GB2312" w:cstheme="minorEastAsia"/>
          <w:b w:val="0"/>
          <w:bCs/>
          <w:szCs w:val="32"/>
        </w:rPr>
      </w:pPr>
      <w:r>
        <w:rPr>
          <w:rFonts w:hint="eastAsia" w:ascii="Times New Roman" w:hAnsi="Times New Roman" w:eastAsia="方正仿宋_GB2312" w:cstheme="minorEastAsia"/>
          <w:b w:val="0"/>
          <w:bCs/>
          <w:szCs w:val="32"/>
        </w:rPr>
        <w:t>4.虚实结合沉浸式实训场景构建与应用研究</w:t>
      </w:r>
    </w:p>
    <w:p w14:paraId="393C46A2">
      <w:pPr>
        <w:spacing w:line="560" w:lineRule="exact"/>
        <w:ind w:firstLine="640" w:firstLineChars="20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（1）数据要素领域虚拟仿真实训基地建设与应用研究</w:t>
      </w:r>
    </w:p>
    <w:p w14:paraId="4FE60EE2">
      <w:pPr>
        <w:spacing w:line="560" w:lineRule="exact"/>
        <w:ind w:firstLine="640" w:firstLineChars="20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（2）AI增强的虚实融合场景构建与实时交互技术研究</w:t>
      </w:r>
    </w:p>
    <w:p w14:paraId="6F13070C">
      <w:pPr>
        <w:spacing w:line="560" w:lineRule="exact"/>
        <w:ind w:firstLine="640" w:firstLineChars="20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（3）虚实结合的未来数字课堂打造及教学创新研究</w:t>
      </w:r>
    </w:p>
    <w:p w14:paraId="0E4F2BCB">
      <w:pPr>
        <w:spacing w:line="560" w:lineRule="exact"/>
        <w:ind w:firstLine="640" w:firstLineChars="20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（4）虚实融合环境下的数字媒体营销场景创新研究</w:t>
      </w:r>
    </w:p>
    <w:p w14:paraId="5861829E">
      <w:pPr>
        <w:spacing w:line="560" w:lineRule="exact"/>
        <w:ind w:firstLine="640" w:firstLineChars="20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（5）虚实融合视域下的文化遗产数字化展演研究</w:t>
      </w:r>
    </w:p>
    <w:p w14:paraId="554D73E4">
      <w:pPr>
        <w:pStyle w:val="4"/>
        <w:spacing w:before="0" w:after="0" w:line="560" w:lineRule="exact"/>
        <w:ind w:firstLine="640" w:firstLineChars="200"/>
        <w:rPr>
          <w:rFonts w:ascii="Times New Roman" w:hAnsi="Times New Roman" w:eastAsia="方正仿宋_GB2312" w:cstheme="minorEastAsia"/>
          <w:b w:val="0"/>
          <w:bCs/>
          <w:szCs w:val="32"/>
        </w:rPr>
      </w:pPr>
      <w:r>
        <w:rPr>
          <w:rFonts w:hint="eastAsia" w:ascii="Times New Roman" w:hAnsi="Times New Roman" w:eastAsia="方正仿宋_GB2312" w:cstheme="minorEastAsia"/>
          <w:b w:val="0"/>
          <w:bCs/>
          <w:szCs w:val="32"/>
        </w:rPr>
        <w:t>5.跨文化传播与产教融合创新创业平台研究</w:t>
      </w:r>
    </w:p>
    <w:p w14:paraId="72967FC6">
      <w:pPr>
        <w:spacing w:line="560" w:lineRule="exact"/>
        <w:ind w:firstLine="640" w:firstLineChars="20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（1）产教融合背景下的跨文化数字内容创新工坊构建研究</w:t>
      </w:r>
    </w:p>
    <w:p w14:paraId="489BB629">
      <w:pPr>
        <w:spacing w:line="560" w:lineRule="exact"/>
        <w:ind w:firstLine="640" w:firstLineChars="20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（2）基于AIGC的跨文化智能适配与产教协同创业平台建设</w:t>
      </w:r>
    </w:p>
    <w:p w14:paraId="1ACDB647">
      <w:pPr>
        <w:spacing w:line="560" w:lineRule="exact"/>
        <w:ind w:firstLine="640" w:firstLineChars="200"/>
        <w:rPr>
          <w:rFonts w:ascii="Times New Roman" w:hAnsi="Times New Roman" w:eastAsia="方正仿宋_GB2312" w:cstheme="minorEastAsia"/>
          <w:sz w:val="32"/>
          <w:szCs w:val="32"/>
        </w:rPr>
      </w:pPr>
      <w:r>
        <w:rPr>
          <w:rFonts w:hint="eastAsia" w:ascii="Times New Roman" w:hAnsi="Times New Roman" w:eastAsia="方正仿宋_GB2312" w:cstheme="minorEastAsia"/>
          <w:sz w:val="32"/>
          <w:szCs w:val="32"/>
        </w:rPr>
        <w:t>（3）短剧制作与分销的产教融合“微工业化”体系研究</w:t>
      </w:r>
    </w:p>
    <w:p w14:paraId="6339E01D">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cstheme="minorEastAsia"/>
          <w:sz w:val="32"/>
          <w:szCs w:val="32"/>
        </w:rPr>
        <w:t>（4）面向跨文化虚实融合体验的智能交互硬件与系统集成研究</w:t>
      </w:r>
    </w:p>
    <w:p w14:paraId="5C98EF49">
      <w:pPr>
        <w:pStyle w:val="2"/>
        <w:spacing w:before="0" w:after="0" w:line="560" w:lineRule="exact"/>
        <w:ind w:firstLine="643" w:firstLineChars="200"/>
        <w:rPr>
          <w:rFonts w:ascii="Times New Roman" w:hAnsi="Times New Roman" w:eastAsia="方正仿宋_GB2312" w:cs="黑体"/>
          <w:sz w:val="32"/>
          <w:szCs w:val="32"/>
        </w:rPr>
      </w:pPr>
      <w:r>
        <w:rPr>
          <w:rFonts w:hint="eastAsia" w:ascii="Times New Roman" w:hAnsi="Times New Roman" w:eastAsia="方正仿宋_GB2312" w:cs="黑体"/>
          <w:sz w:val="32"/>
          <w:szCs w:val="32"/>
        </w:rPr>
        <w:t>二、课题要求</w:t>
      </w:r>
    </w:p>
    <w:p w14:paraId="38C82080">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（一）课题研究需紧扣征集宗旨与选题方向，符合国家教育方针政策及相关文件精神，具有较强的理论价值与实践指导意义。</w:t>
      </w:r>
    </w:p>
    <w:p w14:paraId="0B24CC9F">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（二）课题研究方案科学可行，研究周期合理，经费预算规范，预期成果明确且具有可操作性。</w:t>
      </w:r>
    </w:p>
    <w:p w14:paraId="61FD12E0">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（三）课题内容无知识产权争议，研究过程中需遵守科研诚信相关规定，杜绝学术不端行为。</w:t>
      </w:r>
    </w:p>
    <w:p w14:paraId="1BC91A61">
      <w:pPr>
        <w:pStyle w:val="2"/>
        <w:spacing w:before="0" w:after="0" w:line="560" w:lineRule="exact"/>
        <w:ind w:firstLine="643" w:firstLineChars="200"/>
        <w:rPr>
          <w:rFonts w:ascii="Times New Roman" w:hAnsi="Times New Roman" w:eastAsia="方正仿宋_GB2312" w:cs="黑体"/>
          <w:sz w:val="32"/>
          <w:szCs w:val="32"/>
        </w:rPr>
      </w:pPr>
      <w:r>
        <w:rPr>
          <w:rFonts w:hint="eastAsia" w:ascii="Times New Roman" w:hAnsi="Times New Roman" w:eastAsia="方正仿宋_GB2312" w:cs="黑体"/>
          <w:sz w:val="32"/>
          <w:szCs w:val="32"/>
        </w:rPr>
        <w:t>三、申报条件</w:t>
      </w:r>
    </w:p>
    <w:p w14:paraId="5B59A6C2">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一）课题负责人须具备副高级及以上职称，有承担省部级及以上课题的经验，具备强大的组织协调能力；核心成员应熟悉数智技术与教育教学融合领域，可包含行企业人员、研究机构人员，人员结构合理，分工明确；团队总人数不少于5人。</w:t>
      </w:r>
    </w:p>
    <w:p w14:paraId="3240D7DD">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（二）申报单位需具备适配课题研究的实验环境，包括智慧教室、VR/AR 实训室、未来学习空间等，为创新应用类课题提供实践支撑；需积累一定规模的结构化教学数据（如课程资源、教学视频、学生行为数据、成绩数据等），为大模型训练、复杂学习分析及多模态数据处理提供数据支撑。跨单位、跨领域联合组建的研究团队牵头单位需要具有以上环境。</w:t>
      </w:r>
    </w:p>
    <w:p w14:paraId="3B9270A4">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（三）各申报单位必须明确已建立数据安全和隐私保护制度，确保在符合《网络安全法》、《个人信息保护法》等法规的前提下，合法合规地使用教学数据进行研究。</w:t>
      </w:r>
    </w:p>
    <w:p w14:paraId="2514A990">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（四）各申报单位经校内遴选后最多可申报两个课题。</w:t>
      </w:r>
    </w:p>
    <w:p w14:paraId="13184214">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（五）鼓励跨学科合作、校校合作、校企合作，共同申报。</w:t>
      </w:r>
    </w:p>
    <w:p w14:paraId="084D3336">
      <w:pPr>
        <w:pStyle w:val="2"/>
        <w:spacing w:before="0" w:after="0" w:line="560" w:lineRule="exact"/>
        <w:ind w:firstLine="643" w:firstLineChars="200"/>
        <w:rPr>
          <w:rFonts w:ascii="Times New Roman" w:hAnsi="Times New Roman" w:eastAsia="方正仿宋_GB2312" w:cs="黑体"/>
          <w:sz w:val="32"/>
          <w:szCs w:val="32"/>
        </w:rPr>
      </w:pPr>
      <w:r>
        <w:rPr>
          <w:rFonts w:hint="eastAsia" w:ascii="Times New Roman" w:hAnsi="Times New Roman" w:eastAsia="方正仿宋_GB2312" w:cs="黑体"/>
          <w:sz w:val="32"/>
          <w:szCs w:val="32"/>
        </w:rPr>
        <w:t>四、评审与立项</w:t>
      </w:r>
    </w:p>
    <w:p w14:paraId="42ECA012">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（一）主办方将组织教育政策、人工智能、高等教育等领域专家组成评审委员会，遵循 “公开、公平、公正” 原则，从研究价值、方案可行性、团队实力、预期成果等方面进行综合评审。</w:t>
      </w:r>
    </w:p>
    <w:p w14:paraId="7D213FD1">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（二）评审分为初审、复审两个阶段，复审采用会议评审或答辩评审方式，评审结果将在教育部学校规划建设发展中心官网及全国数智应用产教融合共同体平台公示5个工作日。</w:t>
      </w:r>
    </w:p>
    <w:p w14:paraId="40DD79A9">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（三）公示无异议后，正式发文立项并与立项单位/个人签订研究任务书，明确研究要求与权责。</w:t>
      </w:r>
    </w:p>
    <w:p w14:paraId="4568074D">
      <w:pPr>
        <w:pStyle w:val="2"/>
        <w:spacing w:before="0" w:after="0" w:line="560" w:lineRule="exact"/>
        <w:ind w:firstLine="643" w:firstLineChars="200"/>
        <w:rPr>
          <w:rFonts w:ascii="Times New Roman" w:hAnsi="Times New Roman" w:eastAsia="方正仿宋_GB2312" w:cs="黑体"/>
          <w:sz w:val="32"/>
          <w:szCs w:val="32"/>
        </w:rPr>
      </w:pPr>
      <w:r>
        <w:rPr>
          <w:rFonts w:hint="eastAsia" w:ascii="Times New Roman" w:hAnsi="Times New Roman" w:eastAsia="方正仿宋_GB2312" w:cs="黑体"/>
          <w:sz w:val="32"/>
          <w:szCs w:val="32"/>
        </w:rPr>
        <w:t>五、研究周期与成果要求</w:t>
      </w:r>
    </w:p>
    <w:p w14:paraId="0C799C15">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（一）研究周期：12个月，自立项通知发布之日起计算。</w:t>
      </w:r>
    </w:p>
    <w:p w14:paraId="6325BCAC">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二）课题结题：课题研究工作完成后，课题承担单位提交验收申请书和研究成果，我中心集中组织评审验收，验收结果将在我中心官网予以公示。对通过结题评审且公示无异议的课题，由我中心予以正式结题发文，并颁发结题证书。</w:t>
      </w:r>
    </w:p>
    <w:p w14:paraId="4F353647">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（三）成果形式：需至少完成1门数智课程案例和 1 项核心成果（如研究报告、课程标准、教学设计案例集、培训方案、论文等），鼓励形成可落地的数智课程原型、工具应用手册等实践成果。</w:t>
      </w:r>
    </w:p>
    <w:p w14:paraId="74651851">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（四）成果归属：研究成果知识产权归主办方与申报单位/个人共同所有，主办方有权对成果进行汇编、推广、应用及成果转化。</w:t>
      </w:r>
    </w:p>
    <w:p w14:paraId="379732FF">
      <w:pPr>
        <w:pStyle w:val="2"/>
        <w:spacing w:before="0" w:after="0" w:line="560" w:lineRule="exact"/>
        <w:ind w:firstLine="643" w:firstLineChars="200"/>
        <w:rPr>
          <w:rFonts w:ascii="Times New Roman" w:hAnsi="Times New Roman" w:eastAsia="方正仿宋_GB2312" w:cs="黑体"/>
          <w:sz w:val="32"/>
          <w:szCs w:val="32"/>
        </w:rPr>
      </w:pPr>
      <w:r>
        <w:rPr>
          <w:rFonts w:hint="eastAsia" w:ascii="Times New Roman" w:hAnsi="Times New Roman" w:eastAsia="方正仿宋_GB2312" w:cs="黑体"/>
          <w:sz w:val="32"/>
          <w:szCs w:val="32"/>
        </w:rPr>
        <w:t>六、支持保障</w:t>
      </w:r>
    </w:p>
    <w:p w14:paraId="7C807110">
      <w:pPr>
        <w:spacing w:line="560" w:lineRule="exact"/>
        <w:ind w:firstLine="640" w:firstLineChars="200"/>
        <w:rPr>
          <w:rFonts w:ascii="Times New Roman" w:hAnsi="Times New Roman" w:eastAsia="方正仿宋_GB2312"/>
          <w:color w:val="0000FF"/>
          <w:sz w:val="32"/>
          <w:szCs w:val="32"/>
        </w:rPr>
      </w:pPr>
      <w:r>
        <w:rPr>
          <w:rFonts w:hint="eastAsia" w:ascii="Times New Roman" w:hAnsi="Times New Roman" w:eastAsia="方正仿宋_GB2312"/>
          <w:sz w:val="32"/>
          <w:szCs w:val="32"/>
        </w:rPr>
        <w:t>（一）课题经费支持：给</w:t>
      </w:r>
      <w:r>
        <w:rPr>
          <w:rFonts w:hint="eastAsia" w:ascii="Times New Roman" w:hAnsi="Times New Roman" w:eastAsia="方正仿宋_GB2312"/>
          <w:color w:val="0000FF"/>
          <w:sz w:val="32"/>
          <w:szCs w:val="32"/>
        </w:rPr>
        <w:t>予每个立项课题2-10万元人民币经费（具体金额根据课题难度、规模及成果预期核定）支持。</w:t>
      </w:r>
    </w:p>
    <w:p w14:paraId="45154548">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（二）课题软硬件及基础资源支持：给予每个立项课题研究期间，AI创新虚拟教研室平台免费使用权及课题专属算力资源包。</w:t>
      </w:r>
    </w:p>
    <w:p w14:paraId="7789FFE5">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（三）课程建设支持：给予每个立项课题研究期间特色数智课程资源开发技术支持。</w:t>
      </w:r>
    </w:p>
    <w:p w14:paraId="2BC23CBD">
      <w:pPr>
        <w:spacing w:line="560" w:lineRule="exact"/>
        <w:ind w:firstLine="640" w:firstLineChars="200"/>
        <w:rPr>
          <w:rFonts w:ascii="Times New Roman" w:hAnsi="Times New Roman" w:eastAsia="方正仿宋_GB2312"/>
          <w:sz w:val="32"/>
          <w:szCs w:val="32"/>
        </w:rPr>
      </w:pPr>
      <w:r>
        <w:rPr>
          <w:rFonts w:hint="eastAsia" w:ascii="Times New Roman" w:hAnsi="Times New Roman" w:eastAsia="方正仿宋_GB2312"/>
          <w:sz w:val="32"/>
          <w:szCs w:val="32"/>
        </w:rPr>
        <w:t>（四）提供专家指导、交流研讨、成果展示等平台资源，优先推荐成果参与相关评选与推广活动。</w:t>
      </w:r>
    </w:p>
    <w:p w14:paraId="0F40DA6E">
      <w:pPr>
        <w:spacing w:line="560" w:lineRule="exact"/>
        <w:ind w:firstLine="640" w:firstLineChars="200"/>
        <w:rPr>
          <w:rFonts w:ascii="Times New Roman" w:hAnsi="Times New Roman" w:eastAsia="方正仿宋_GB2312" w:cs="宋体"/>
          <w:color w:val="000000" w:themeColor="text1"/>
          <w:sz w:val="32"/>
          <w:szCs w:val="32"/>
          <w14:textFill>
            <w14:solidFill>
              <w14:schemeClr w14:val="tx1"/>
            </w14:solidFill>
          </w14:textFill>
        </w:rPr>
      </w:pPr>
    </w:p>
    <w:p w14:paraId="423B641A">
      <w:pPr>
        <w:spacing w:line="560" w:lineRule="exact"/>
        <w:ind w:firstLine="420" w:firstLineChars="200"/>
        <w:rPr>
          <w:rFonts w:ascii="Times New Roman" w:hAnsi="Times New Roman" w:eastAsia="方正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B17C8F-1AB9-45F8-A62F-8AE68FC17AF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仿宋_GB2312">
    <w:panose1 w:val="02000000000000000000"/>
    <w:charset w:val="86"/>
    <w:family w:val="auto"/>
    <w:pitch w:val="default"/>
    <w:sig w:usb0="A00002BF" w:usb1="184F6CFA" w:usb2="00000012" w:usb3="00000000" w:csb0="00040001" w:csb1="00000000"/>
    <w:embedRegular r:id="rId2" w:fontKey="{40D9BF1A-188F-4CA9-8F2B-08002D71EB41}"/>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embedRegular r:id="rId3" w:fontKey="{1834CF43-5BED-48B9-B5C0-83F0C6FA8CB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BB1C4"/>
    <w:multiLevelType w:val="singleLevel"/>
    <w:tmpl w:val="589BB1C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8F1"/>
    <w:rsid w:val="0009075B"/>
    <w:rsid w:val="00256CCC"/>
    <w:rsid w:val="00531BEC"/>
    <w:rsid w:val="005E48F1"/>
    <w:rsid w:val="00B55082"/>
    <w:rsid w:val="01F80A87"/>
    <w:rsid w:val="059718B0"/>
    <w:rsid w:val="06F77096"/>
    <w:rsid w:val="09E35E2B"/>
    <w:rsid w:val="0CF743E2"/>
    <w:rsid w:val="0F9F2542"/>
    <w:rsid w:val="10372C7C"/>
    <w:rsid w:val="12B14069"/>
    <w:rsid w:val="14406215"/>
    <w:rsid w:val="17E06E01"/>
    <w:rsid w:val="18064CEC"/>
    <w:rsid w:val="18784278"/>
    <w:rsid w:val="1A381507"/>
    <w:rsid w:val="1B896C81"/>
    <w:rsid w:val="204A5376"/>
    <w:rsid w:val="33A53D1B"/>
    <w:rsid w:val="383438BF"/>
    <w:rsid w:val="39B20D5B"/>
    <w:rsid w:val="3BBF5B96"/>
    <w:rsid w:val="3FFF47B3"/>
    <w:rsid w:val="401069C0"/>
    <w:rsid w:val="44924120"/>
    <w:rsid w:val="44CB1108"/>
    <w:rsid w:val="452267E5"/>
    <w:rsid w:val="4E93713A"/>
    <w:rsid w:val="4F08762A"/>
    <w:rsid w:val="514E6945"/>
    <w:rsid w:val="543751A2"/>
    <w:rsid w:val="5A000A08"/>
    <w:rsid w:val="5AB17B0D"/>
    <w:rsid w:val="63B55005"/>
    <w:rsid w:val="64E9765C"/>
    <w:rsid w:val="65E67C0B"/>
    <w:rsid w:val="6B90759B"/>
    <w:rsid w:val="73D33317"/>
    <w:rsid w:val="77C20429"/>
    <w:rsid w:val="78BA18E9"/>
    <w:rsid w:val="790A156A"/>
    <w:rsid w:val="79982FA7"/>
    <w:rsid w:val="7DCB4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rPr>
  </w:style>
  <w:style w:type="character" w:customStyle="1" w:styleId="10">
    <w:name w:val="页眉 Char"/>
    <w:basedOn w:val="8"/>
    <w:link w:val="6"/>
    <w:uiPriority w:val="0"/>
    <w:rPr>
      <w:rFonts w:asciiTheme="minorHAnsi" w:hAnsiTheme="minorHAnsi" w:eastAsiaTheme="minorEastAsia" w:cstheme="minorBidi"/>
      <w:kern w:val="2"/>
      <w:sz w:val="18"/>
      <w:szCs w:val="18"/>
    </w:rPr>
  </w:style>
  <w:style w:type="character" w:customStyle="1" w:styleId="11">
    <w:name w:val="页脚 Char"/>
    <w:basedOn w:val="8"/>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2452</Words>
  <Characters>2499</Characters>
  <Lines>18</Lines>
  <Paragraphs>5</Paragraphs>
  <TotalTime>10</TotalTime>
  <ScaleCrop>false</ScaleCrop>
  <LinksUpToDate>false</LinksUpToDate>
  <CharactersWithSpaces>2504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2025-04-29T13:33:00Z</dcterms:created>
  <dc:creator>90829</dc:creator>
  <cp:lastModifiedBy>王冬梅</cp:lastModifiedBy>
  <dcterms:modified xsi:type="dcterms:W3CDTF">2026-01-07T02:56:44Z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B67A537274EC4B02847AFE22B287DC95_12</vt:lpwstr>
  </property>
  <property fmtid="{D5CDD505-2E9C-101B-9397-08002B2CF9AE}" pid="4" name="KSOTemplateDocerSaveRecord">
    <vt:lpwstr>eyJoZGlkIjoiYTQ0ZjliN2NhODM5ZTFjYWY1NDgxYjkyNTYxOTEzN2QiLCJ1c2VySWQiOiIxNjAxODEyODA2In0=</vt:lpwstr>
  </property>
</Properties>
</file>