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形势与政策</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课程标准</w:t>
      </w:r>
    </w:p>
    <w:p>
      <w:pPr>
        <w:jc w:val="left"/>
        <w:rPr>
          <w:rFonts w:hint="eastAsia" w:ascii="仿宋" w:hAnsi="仿宋" w:eastAsia="仿宋" w:cs="仿宋"/>
          <w:b/>
          <w:bCs/>
          <w:sz w:val="30"/>
          <w:szCs w:val="30"/>
          <w:lang w:eastAsia="zh-CN"/>
        </w:rPr>
      </w:pPr>
      <w:r>
        <w:rPr>
          <w:rFonts w:hint="eastAsia" w:ascii="仿宋" w:hAnsi="仿宋" w:eastAsia="仿宋" w:cs="仿宋"/>
          <w:b/>
          <w:bCs/>
          <w:sz w:val="30"/>
          <w:szCs w:val="30"/>
        </w:rPr>
        <w:t>适用专业：</w:t>
      </w:r>
      <w:r>
        <w:rPr>
          <w:rFonts w:hint="eastAsia" w:ascii="仿宋" w:hAnsi="仿宋" w:eastAsia="仿宋" w:cs="仿宋"/>
          <w:b/>
          <w:bCs/>
          <w:sz w:val="30"/>
          <w:szCs w:val="30"/>
          <w:lang w:eastAsia="zh-CN"/>
        </w:rPr>
        <w:t>所有专业</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rPr>
        <w:t>适用</w:t>
      </w:r>
      <w:r>
        <w:rPr>
          <w:rFonts w:hint="eastAsia" w:ascii="仿宋" w:hAnsi="仿宋" w:eastAsia="仿宋" w:cs="仿宋"/>
          <w:b/>
          <w:bCs/>
          <w:sz w:val="30"/>
          <w:szCs w:val="30"/>
          <w:lang w:val="en-US" w:eastAsia="zh-CN"/>
        </w:rPr>
        <w:t>年级</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高职二年级</w:t>
      </w:r>
    </w:p>
    <w:p>
      <w:pPr>
        <w:jc w:val="left"/>
        <w:rPr>
          <w:rFonts w:hint="eastAsia" w:ascii="仿宋" w:hAnsi="仿宋" w:eastAsia="仿宋" w:cs="仿宋"/>
          <w:b/>
          <w:bCs/>
          <w:sz w:val="30"/>
          <w:szCs w:val="30"/>
        </w:rPr>
      </w:pPr>
      <w:r>
        <w:rPr>
          <w:rFonts w:hint="eastAsia" w:ascii="仿宋" w:hAnsi="仿宋" w:eastAsia="仿宋" w:cs="仿宋"/>
          <w:b/>
          <w:bCs/>
          <w:sz w:val="30"/>
          <w:szCs w:val="30"/>
        </w:rPr>
        <w:t>课程类别：基础课</w:t>
      </w:r>
    </w:p>
    <w:p>
      <w:pPr>
        <w:jc w:val="left"/>
        <w:rPr>
          <w:rFonts w:hint="default" w:ascii="仿宋" w:hAnsi="仿宋" w:eastAsia="仿宋" w:cs="仿宋"/>
          <w:b/>
          <w:bCs/>
          <w:sz w:val="30"/>
          <w:szCs w:val="30"/>
          <w:lang w:val="en-US" w:eastAsia="zh-CN"/>
        </w:rPr>
      </w:pPr>
      <w:r>
        <w:rPr>
          <w:rFonts w:hint="eastAsia" w:ascii="仿宋" w:hAnsi="仿宋" w:eastAsia="仿宋" w:cs="仿宋"/>
          <w:b/>
          <w:bCs/>
          <w:sz w:val="30"/>
          <w:szCs w:val="30"/>
        </w:rPr>
        <w:t>修课方式：必修</w:t>
      </w:r>
    </w:p>
    <w:p>
      <w:pPr>
        <w:widowControl/>
        <w:spacing w:line="360" w:lineRule="auto"/>
        <w:jc w:val="left"/>
        <w:rPr>
          <w:rFonts w:hint="eastAsia" w:ascii="仿宋" w:hAnsi="仿宋" w:eastAsia="仿宋" w:cs="仿宋"/>
          <w:b/>
          <w:sz w:val="30"/>
          <w:szCs w:val="30"/>
        </w:rPr>
      </w:pPr>
      <w:r>
        <w:rPr>
          <w:rFonts w:hint="eastAsia" w:ascii="仿宋" w:hAnsi="仿宋" w:eastAsia="仿宋" w:cs="仿宋"/>
          <w:b/>
          <w:sz w:val="30"/>
          <w:szCs w:val="30"/>
        </w:rPr>
        <w:t>一、课程性质与定位</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（一）课程性质</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形势与政策》课是一门公共基础课程，是教育部规定的高等学校学生必修思想政治理论课程，是对学生进行形势与政策教育的主渠道、主阵地。它是一门以马克思列宁主义、毛泽东思想、邓小平理论和“三个代表”重要思想</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习近平新时代中国特色社会主义思修</w:t>
      </w:r>
      <w:r>
        <w:rPr>
          <w:rFonts w:hint="eastAsia" w:ascii="仿宋" w:hAnsi="仿宋" w:eastAsia="仿宋" w:cs="仿宋"/>
          <w:sz w:val="30"/>
          <w:szCs w:val="30"/>
        </w:rPr>
        <w:t>为指导，以高校培养目标为依据，紧密结合国内外形势，紧密结合大学生的思想实际，对大学生进行比较系统的党的路线、方针和政策教育的思想政治教育课程。它的基本任务是通过适时地进行形势政策、世界政治经济与国际关系基本知识的教育，帮助学生开阔视野，及时了解和正确对待国内外重大时事，使大学生在改革开放的环境下有坚定的立场、有较强的分析能力和适应能力。</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（二）课程定位</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课程是一门综合性与应用性很强的思想政治理论课，它的相关课程为：《思想道德修养与法律基础》及《毛泽东思想和中国特色社会主义理论体系概论》。思想道德修养和法律基础课与形势与政策课在思想体系和内容上有着十分紧密的联系。</w:t>
      </w:r>
      <w:r>
        <w:rPr>
          <w:rFonts w:hint="eastAsia" w:ascii="仿宋" w:hAnsi="仿宋" w:eastAsia="仿宋" w:cs="仿宋"/>
          <w:sz w:val="30"/>
          <w:szCs w:val="30"/>
          <w:lang w:eastAsia="zh-CN"/>
        </w:rPr>
        <w:t>《</w:t>
      </w:r>
      <w:r>
        <w:rPr>
          <w:rFonts w:hint="eastAsia" w:ascii="仿宋" w:hAnsi="仿宋" w:eastAsia="仿宋" w:cs="仿宋"/>
          <w:sz w:val="30"/>
          <w:szCs w:val="30"/>
        </w:rPr>
        <w:t>毛泽东思想和中国特色社会主义理论体系</w:t>
      </w:r>
      <w:r>
        <w:rPr>
          <w:rFonts w:hint="eastAsia" w:ascii="仿宋" w:hAnsi="仿宋" w:eastAsia="仿宋" w:cs="仿宋"/>
          <w:sz w:val="30"/>
          <w:szCs w:val="30"/>
          <w:lang w:eastAsia="zh-CN"/>
        </w:rPr>
        <w:t>《</w:t>
      </w:r>
      <w:r>
        <w:rPr>
          <w:rFonts w:hint="eastAsia" w:ascii="仿宋" w:hAnsi="仿宋" w:eastAsia="仿宋" w:cs="仿宋"/>
          <w:sz w:val="30"/>
          <w:szCs w:val="30"/>
        </w:rPr>
        <w:t>是学习形势与政策课的重要思想理论基础。学好形势与政策课对于学好前两门课，树立正确的世界观、人生观、价值观也具有重要作用。</w:t>
      </w:r>
    </w:p>
    <w:p>
      <w:pPr>
        <w:widowControl/>
        <w:spacing w:line="360" w:lineRule="auto"/>
        <w:jc w:val="left"/>
        <w:rPr>
          <w:rFonts w:hint="eastAsia" w:ascii="仿宋" w:hAnsi="仿宋" w:eastAsia="仿宋" w:cs="仿宋"/>
          <w:b/>
          <w:sz w:val="30"/>
          <w:szCs w:val="30"/>
        </w:rPr>
      </w:pPr>
      <w:r>
        <w:rPr>
          <w:rFonts w:hint="eastAsia" w:ascii="仿宋" w:hAnsi="仿宋" w:eastAsia="仿宋" w:cs="仿宋"/>
          <w:b/>
          <w:sz w:val="30"/>
          <w:szCs w:val="30"/>
        </w:rPr>
        <w:t>二、课程设计</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（一）设计思路</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color w:val="000000"/>
          <w:sz w:val="30"/>
          <w:szCs w:val="30"/>
          <w:shd w:val="clear" w:color="auto" w:fill="FFFFFF"/>
        </w:rPr>
        <w:t xml:space="preserve"> </w:t>
      </w:r>
      <w:r>
        <w:rPr>
          <w:rFonts w:hint="eastAsia" w:ascii="仿宋" w:hAnsi="仿宋" w:eastAsia="仿宋" w:cs="仿宋"/>
          <w:sz w:val="30"/>
          <w:szCs w:val="30"/>
        </w:rPr>
        <w:t xml:space="preserve">   1．坚定正确的政治方向，始终与党中央保持一致。在教学过程中，针对学生关注的热点问题和思想特点，帮助学生认清国内外形势，教育和引导学生全面准确地理解党的路线、方针和政策，坚定在中国共产党的领导下走中国特色社会主义道路的信心和决心，积极投身改革开放和现代化建设的伟大事业。</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发挥课内课外两个教育途径。课堂教学以专题化讲座形式开展，围绕当下国内政治、经济、文化、生态、外交等走向及国际形势展开，关注学生应该认识并能够理解的社会热点问题；同时引导学生课外自主思考体会，分析当下热点难道问题，培养学生分析解决问题的思维习惯。</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（二）设计依据</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1.《形势与政策》课程自身具有的导向性、政策性、时效性、知识性的特点和思政课教育的针对性实效性要求。</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2.因材施教，高职学生知识储备及学习特点，教学中关注学生应该认识并能够理解的国际、国内形势的热点、焦点问题。</w:t>
      </w:r>
    </w:p>
    <w:p>
      <w:pPr>
        <w:tabs>
          <w:tab w:val="left" w:pos="1125"/>
        </w:tabs>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三、课程目标</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课程主要是帮助学生全面正确地认识党和国家面临的形势和任务，拥护党的路线、方针和政策，增强实现改革开放和社会主义现代化建设宏伟目标的信心和社会责任感。同时使学生基本掌握该课程的基础理论知识、基本理论观点、分析问题的基本方法，并能够运用这些知识和方法去分析现实生活中的一些问题，把理论渗透到实践中，指导自己的行为。</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（一）知识目标</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使学生全面正确认识党和国家面临的形势和任务，正确认识国情，理解党的路线、方针和政策，增加学生的爱国主义责任感和使命感，不断提高学生的爱国主义和社会主义觉悟。</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（二）能力目标</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通过课程教学，逐步提高学生走向社会发展所需要的思想、文化、职业等方面的综合素质，更好地促进高职学生成长成才和全面、协调可持续发展。</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（三）素质目标</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通过课程教学，引导大学生正确分析和认识当前国内外形势，统一思想，坚定信心和决心，坚信我们党完全有能力带领全国各族人民，化危为机，战胜困难，在应对挑战中创造新的发展机遇，实现更好发展，培养正确分辨能力和判断能力。在了解高职生活的特点，高职在我国发展的现状和趋势的基础上，深刻认识高职大学生的历史使命，初步培养学习生涯和职业生涯的规划设计能力。在明确个体对自然、社会、他人和自身应该承担责任的基础上，提高学习、交往及自我心理调节的能力，培养合理生存和职业岗位的适应能力。</w:t>
      </w:r>
    </w:p>
    <w:p>
      <w:pPr>
        <w:tabs>
          <w:tab w:val="left" w:pos="1125"/>
        </w:tabs>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四、课程内容和要求</w:t>
      </w:r>
    </w:p>
    <w:p>
      <w:pPr>
        <w:tabs>
          <w:tab w:val="left" w:pos="1125"/>
        </w:tabs>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（一）课程内容特点和要点</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1．课程内容特点：由于《形势与政策》课的内容具有理论性与时效性的特点，因此其内容具有特殊性，不同于传统课程有固定的教学内容体系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课程内容较为灵活，根据时政热点进行调整</w:t>
      </w:r>
      <w:r>
        <w:rPr>
          <w:rFonts w:hint="eastAsia" w:ascii="仿宋" w:hAnsi="仿宋" w:eastAsia="仿宋" w:cs="仿宋"/>
          <w:sz w:val="30"/>
          <w:szCs w:val="30"/>
        </w:rPr>
        <w:t>。</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2．课程内容要点：本课程教学内容主要围绕党和国家推出的重大战略决策和当下国际、国内形势的热点、焦点问题，并结合我校教学实际情况和学生关注的热点、焦点问题来确定。</w:t>
      </w:r>
    </w:p>
    <w:p>
      <w:pPr>
        <w:tabs>
          <w:tab w:val="left" w:pos="1125"/>
        </w:tabs>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（二）教学内容与课时分配</w:t>
      </w:r>
    </w:p>
    <w:tbl>
      <w:tblPr>
        <w:tblStyle w:val="4"/>
        <w:tblpPr w:vertAnchor="text"/>
        <w:tblW w:w="84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67"/>
        <w:gridCol w:w="4418"/>
        <w:gridCol w:w="20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77"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4"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教学内容</w:t>
            </w:r>
          </w:p>
        </w:tc>
        <w:tc>
          <w:tcPr>
            <w:tcW w:w="207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学时分配建议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第一专题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sz w:val="24"/>
              </w:rPr>
              <w:t>中美贸易战</w:t>
            </w:r>
          </w:p>
        </w:tc>
        <w:tc>
          <w:tcPr>
            <w:tcW w:w="2075" w:type="dxa"/>
            <w:tcBorders>
              <w:top w:val="single" w:color="auto" w:sz="4"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第二专题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sz w:val="24"/>
              </w:rPr>
              <w:t>香港暴力事件</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第三专题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sz w:val="24"/>
              </w:rPr>
              <w:t>壮丽70年奋斗新时代</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lang w:val="en-US" w:eastAsia="zh-CN"/>
              </w:rPr>
              <w:t>4</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第四专题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sz w:val="24"/>
              </w:rPr>
              <w:t>走好城乡融合发展之路</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rPr>
              <w:t>第五专题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sz w:val="24"/>
              </w:rPr>
              <w:t>两岸和平统一</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六</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中国特色外交</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七</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中国经济</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八</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深刻把握习近平新时代中国特色社会主义思想的重大意义</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九</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疫情防控专题</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牢记初心使命，推进自我革命</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十一</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迈向“中国之治”新境界</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十二</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确保如期打赢脱贫攻坚战</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十三</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激扬新时代爱国主义的磅礴力量</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十四</w:t>
            </w:r>
            <w:r>
              <w:rPr>
                <w:rFonts w:hint="eastAsia" w:ascii="宋体" w:hAnsi="宋体"/>
              </w:rPr>
              <w:t>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大变局中的中国与世界</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9" w:hRule="atLeast"/>
        </w:trPr>
        <w:tc>
          <w:tcPr>
            <w:tcW w:w="196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ascii="宋体" w:hAnsi="宋体"/>
              </w:rPr>
            </w:pPr>
            <w:r>
              <w:rPr>
                <w:rFonts w:hint="eastAsia" w:ascii="宋体" w:hAnsi="宋体"/>
              </w:rPr>
              <w:t>第</w:t>
            </w:r>
            <w:r>
              <w:rPr>
                <w:rFonts w:hint="eastAsia" w:ascii="宋体" w:hAnsi="宋体"/>
                <w:lang w:val="en-US" w:eastAsia="zh-CN"/>
              </w:rPr>
              <w:t>十</w:t>
            </w:r>
            <w:r>
              <w:rPr>
                <w:rFonts w:hint="eastAsia" w:ascii="宋体" w:hAnsi="宋体"/>
              </w:rPr>
              <w:t>五专题</w:t>
            </w:r>
          </w:p>
        </w:tc>
        <w:tc>
          <w:tcPr>
            <w:tcW w:w="441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hint="eastAsia"/>
                <w:sz w:val="24"/>
              </w:rPr>
            </w:pPr>
            <w:r>
              <w:rPr>
                <w:rFonts w:hint="eastAsia"/>
                <w:sz w:val="24"/>
              </w:rPr>
              <w:t>携手构建网络空间命运共同体</w:t>
            </w:r>
          </w:p>
        </w:tc>
        <w:tc>
          <w:tcPr>
            <w:tcW w:w="20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3"/>
              <w:spacing w:beforeAutospacing="0" w:afterAutospacing="0" w:line="360" w:lineRule="auto"/>
              <w:jc w:val="center"/>
              <w:rPr>
                <w:rFonts w:ascii="宋体" w:hAnsi="宋体"/>
              </w:rPr>
            </w:pPr>
            <w:r>
              <w:rPr>
                <w:rFonts w:hint="eastAsia" w:ascii="宋体" w:hAnsi="宋体"/>
                <w:lang w:val="en-US" w:eastAsia="zh-CN"/>
              </w:rPr>
              <w:t>2</w:t>
            </w:r>
            <w:r>
              <w:rPr>
                <w:rFonts w:hint="eastAsia" w:ascii="宋体" w:hAnsi="宋体"/>
              </w:rPr>
              <w:t>学时</w:t>
            </w:r>
          </w:p>
        </w:tc>
      </w:tr>
    </w:tbl>
    <w:p>
      <w:pPr>
        <w:tabs>
          <w:tab w:val="left" w:pos="1125"/>
        </w:tabs>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五、课程实施建议</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（一）教材编写和选用</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1．使用教材：《形势与政策》叶逢福，沈大元主编/2013.7版</w:t>
      </w:r>
    </w:p>
    <w:p>
      <w:pPr>
        <w:tabs>
          <w:tab w:val="left" w:pos="1125"/>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2．教学参考书：《形势与政策》赵伟主编，中国传媒大学出版社2016.8版</w:t>
      </w:r>
    </w:p>
    <w:p>
      <w:pPr>
        <w:tabs>
          <w:tab w:val="left" w:pos="1125"/>
        </w:tabs>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教学大纲</w:t>
      </w:r>
      <w:r>
        <w:rPr>
          <w:rFonts w:hint="eastAsia" w:ascii="仿宋" w:hAnsi="仿宋" w:eastAsia="仿宋" w:cs="仿宋"/>
          <w:sz w:val="30"/>
          <w:szCs w:val="30"/>
          <w:lang w:eastAsia="zh-CN"/>
        </w:rPr>
        <w:t>：</w:t>
      </w:r>
      <w:r>
        <w:rPr>
          <w:rFonts w:hint="eastAsia" w:ascii="仿宋" w:hAnsi="仿宋" w:eastAsia="仿宋" w:cs="仿宋"/>
          <w:sz w:val="30"/>
          <w:szCs w:val="30"/>
        </w:rPr>
        <w:t>《形势与政策》课程教学大纲</w:t>
      </w:r>
      <w:r>
        <w:rPr>
          <w:rFonts w:hint="eastAsia" w:ascii="仿宋" w:hAnsi="仿宋" w:eastAsia="仿宋" w:cs="仿宋"/>
          <w:sz w:val="30"/>
          <w:szCs w:val="30"/>
          <w:lang w:eastAsia="zh-CN"/>
        </w:rPr>
        <w:t>，</w:t>
      </w:r>
      <w:r>
        <w:rPr>
          <w:rFonts w:hint="eastAsia" w:ascii="仿宋" w:hAnsi="仿宋" w:eastAsia="仿宋" w:cs="仿宋"/>
          <w:sz w:val="30"/>
          <w:szCs w:val="30"/>
        </w:rPr>
        <w:t>陕西国防工业职业技术学院思政部编制</w:t>
      </w:r>
    </w:p>
    <w:p>
      <w:pPr>
        <w:tabs>
          <w:tab w:val="left" w:pos="1125"/>
        </w:tabs>
        <w:spacing w:line="360" w:lineRule="auto"/>
        <w:jc w:val="left"/>
        <w:rPr>
          <w:rFonts w:hint="eastAsia" w:ascii="仿宋" w:hAnsi="仿宋" w:eastAsia="仿宋" w:cs="仿宋"/>
          <w:sz w:val="30"/>
          <w:szCs w:val="30"/>
        </w:rPr>
      </w:pPr>
      <w:r>
        <w:rPr>
          <w:rFonts w:hint="eastAsia" w:ascii="仿宋" w:hAnsi="仿宋" w:eastAsia="仿宋" w:cs="仿宋"/>
          <w:sz w:val="30"/>
          <w:szCs w:val="30"/>
        </w:rPr>
        <w:t>（二）教学方法</w:t>
      </w:r>
    </w:p>
    <w:p>
      <w:pPr>
        <w:tabs>
          <w:tab w:val="left" w:pos="1125"/>
        </w:tabs>
        <w:spacing w:line="360" w:lineRule="auto"/>
        <w:ind w:firstLine="600" w:firstLineChars="200"/>
        <w:jc w:val="left"/>
      </w:pPr>
      <w:r>
        <w:rPr>
          <w:rFonts w:hint="eastAsia" w:ascii="仿宋" w:hAnsi="仿宋" w:eastAsia="仿宋" w:cs="仿宋"/>
          <w:sz w:val="30"/>
          <w:szCs w:val="30"/>
        </w:rPr>
        <w:t>课程主要采取专题讲授法、讨论法、社会调查等多种方法相结合，在课堂上将该相关文件、教学内容、音像资料等整合为课件，利用学校的多媒体教学设施，更好的辅助课堂教学，增强学生学习的兴趣，</w:t>
      </w:r>
      <w:bookmarkStart w:id="0" w:name="_GoBack"/>
      <w:bookmarkEnd w:id="0"/>
      <w:r>
        <w:rPr>
          <w:rFonts w:hint="eastAsia" w:ascii="仿宋" w:hAnsi="仿宋" w:eastAsia="仿宋" w:cs="仿宋"/>
          <w:sz w:val="30"/>
          <w:szCs w:val="30"/>
        </w:rPr>
        <w:t>使学生更好的了解当下热点问题。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359C1"/>
    <w:rsid w:val="003039BF"/>
    <w:rsid w:val="004D393D"/>
    <w:rsid w:val="004D566A"/>
    <w:rsid w:val="00587978"/>
    <w:rsid w:val="00620D27"/>
    <w:rsid w:val="00767376"/>
    <w:rsid w:val="00821D17"/>
    <w:rsid w:val="00873EF5"/>
    <w:rsid w:val="008867D9"/>
    <w:rsid w:val="00B10345"/>
    <w:rsid w:val="00B655F5"/>
    <w:rsid w:val="00D90182"/>
    <w:rsid w:val="08903B4A"/>
    <w:rsid w:val="094559F1"/>
    <w:rsid w:val="0CD66519"/>
    <w:rsid w:val="10693FC6"/>
    <w:rsid w:val="179A4AE6"/>
    <w:rsid w:val="19655575"/>
    <w:rsid w:val="1A0A5602"/>
    <w:rsid w:val="1A514F05"/>
    <w:rsid w:val="1D27067C"/>
    <w:rsid w:val="23CF1B17"/>
    <w:rsid w:val="295D34AE"/>
    <w:rsid w:val="2C7B5848"/>
    <w:rsid w:val="2CCA1617"/>
    <w:rsid w:val="37A44C0D"/>
    <w:rsid w:val="429F1FE3"/>
    <w:rsid w:val="62FD7362"/>
    <w:rsid w:val="68CE6A3C"/>
    <w:rsid w:val="6C4D48A7"/>
    <w:rsid w:val="6D9A3099"/>
    <w:rsid w:val="6E384B2F"/>
    <w:rsid w:val="71B91E59"/>
    <w:rsid w:val="71F057E3"/>
    <w:rsid w:val="76A078DB"/>
    <w:rsid w:val="777F09B2"/>
    <w:rsid w:val="7A9A60ED"/>
    <w:rsid w:val="7D62444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19" w:leftChars="-51" w:right="-107" w:rightChars="-51" w:hanging="126" w:hangingChars="60"/>
    </w:pPr>
    <w:rPr>
      <w:szCs w:val="20"/>
    </w:rPr>
  </w:style>
  <w:style w:type="paragraph" w:styleId="3">
    <w:name w:val="Normal (Web)"/>
    <w:basedOn w:val="1"/>
    <w:uiPriority w:val="99"/>
    <w:pPr>
      <w:spacing w:beforeAutospacing="1" w:afterAutospacing="1"/>
      <w:jc w:val="left"/>
    </w:pPr>
    <w:rPr>
      <w:sz w:val="24"/>
      <w:szCs w:val="20"/>
    </w:rPr>
  </w:style>
  <w:style w:type="table" w:styleId="5">
    <w:name w:val="Table Grid"/>
    <w:basedOn w:val="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2020-04-23T07:26:57Z</dcterms:created>
  <dc:creator>欧我个文</dc:creator>
  <cp:lastModifiedBy>欧我个文</cp:lastModifiedBy>
  <dcterms:modified xsi:type="dcterms:W3CDTF">2020-04-23T07:40:01Z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