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ind w:firstLine="602" w:firstLineChars="200"/>
        <w:jc w:val="center"/>
        <w:outlineLvl w:val="0"/>
        <w:rPr>
          <w:rFonts w:ascii="Times New Roman" w:hAnsi="Times New Roman"/>
          <w:b/>
          <w:bCs/>
          <w:sz w:val="30"/>
          <w:szCs w:val="30"/>
        </w:rPr>
      </w:pPr>
      <w:bookmarkStart w:id="0" w:name="_Toc438027897"/>
      <w:r>
        <w:rPr>
          <w:rFonts w:ascii="Times New Roman" w:hAnsi="Times New Roman"/>
          <w:b/>
          <w:bCs/>
          <w:sz w:val="30"/>
          <w:szCs w:val="30"/>
        </w:rPr>
        <w:t>食品质量与安全专业人才培养</w:t>
      </w:r>
      <w:bookmarkEnd w:id="0"/>
      <w:r>
        <w:rPr>
          <w:rFonts w:ascii="Times New Roman" w:hAnsi="Times New Roman"/>
          <w:b/>
          <w:bCs/>
          <w:sz w:val="30"/>
          <w:szCs w:val="30"/>
        </w:rPr>
        <w:t>方案</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一、专业名称及代码</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食品质量与安全（</w:t>
      </w:r>
      <w:r>
        <w:rPr>
          <w:rFonts w:hint="eastAsia" w:ascii="Times New Roman" w:hAnsi="Times New Roman"/>
          <w:sz w:val="24"/>
          <w:szCs w:val="24"/>
        </w:rPr>
        <w:t>490102</w:t>
      </w:r>
      <w:r>
        <w:rPr>
          <w:rFonts w:ascii="Times New Roman" w:hAnsi="Times New Roman"/>
          <w:sz w:val="24"/>
          <w:szCs w:val="24"/>
        </w:rPr>
        <w:t>）</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二、入学要求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高中阶段教育毕业生或具有同等学力者</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三、修业年限</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三年</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四、职业面向</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食品质量与安全专业主要职业面向如下表一所示：</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表一    食品质量与安全专业主要职业面向一览表</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1701"/>
        <w:gridCol w:w="1984"/>
        <w:gridCol w:w="184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所属专业大类（代码）</w:t>
            </w:r>
          </w:p>
        </w:tc>
        <w:tc>
          <w:tcPr>
            <w:tcW w:w="992"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所属专业类（代码）</w:t>
            </w:r>
          </w:p>
        </w:tc>
        <w:tc>
          <w:tcPr>
            <w:tcW w:w="1701"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对应行业（代码）</w:t>
            </w:r>
          </w:p>
        </w:tc>
        <w:tc>
          <w:tcPr>
            <w:tcW w:w="1984"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主要职业类别（代码）</w:t>
            </w:r>
          </w:p>
        </w:tc>
        <w:tc>
          <w:tcPr>
            <w:tcW w:w="1846"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主要岗位群或技术领域</w:t>
            </w:r>
          </w:p>
        </w:tc>
        <w:tc>
          <w:tcPr>
            <w:tcW w:w="1273"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职业资格证书和职业技能等级证书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食品药品与粮食大类</w:t>
            </w:r>
          </w:p>
          <w:p>
            <w:pPr>
              <w:overflowPunct w:val="0"/>
              <w:adjustRightInd w:val="0"/>
              <w:jc w:val="center"/>
              <w:rPr>
                <w:rFonts w:ascii="Times New Roman" w:hAnsi="Times New Roman"/>
                <w:szCs w:val="21"/>
              </w:rPr>
            </w:pPr>
            <w:r>
              <w:rPr>
                <w:rFonts w:ascii="Times New Roman" w:hAnsi="Times New Roman"/>
                <w:szCs w:val="21"/>
              </w:rPr>
              <w:t>（</w:t>
            </w:r>
            <w:r>
              <w:rPr>
                <w:rFonts w:hint="eastAsia" w:ascii="Times New Roman" w:hAnsi="Times New Roman"/>
                <w:szCs w:val="21"/>
                <w:lang w:val="en-US" w:eastAsia="zh-CN"/>
              </w:rPr>
              <w:t>4</w:t>
            </w:r>
            <w:r>
              <w:rPr>
                <w:rFonts w:ascii="Times New Roman" w:hAnsi="Times New Roman"/>
                <w:szCs w:val="21"/>
              </w:rPr>
              <w:t>9）</w:t>
            </w:r>
          </w:p>
        </w:tc>
        <w:tc>
          <w:tcPr>
            <w:tcW w:w="992"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食品类</w:t>
            </w:r>
          </w:p>
          <w:p>
            <w:pPr>
              <w:overflowPunct w:val="0"/>
              <w:adjustRightInd w:val="0"/>
              <w:jc w:val="center"/>
              <w:rPr>
                <w:rFonts w:ascii="Times New Roman" w:hAnsi="Times New Roman"/>
                <w:szCs w:val="21"/>
              </w:rPr>
            </w:pPr>
            <w:r>
              <w:rPr>
                <w:rFonts w:ascii="Times New Roman" w:hAnsi="Times New Roman"/>
                <w:szCs w:val="21"/>
              </w:rPr>
              <w:t>（</w:t>
            </w:r>
            <w:r>
              <w:rPr>
                <w:rFonts w:hint="eastAsia" w:ascii="Times New Roman" w:hAnsi="Times New Roman"/>
                <w:szCs w:val="21"/>
                <w:lang w:val="en-US" w:eastAsia="zh-CN"/>
              </w:rPr>
              <w:t>4</w:t>
            </w:r>
            <w:r>
              <w:rPr>
                <w:rFonts w:ascii="Times New Roman" w:hAnsi="Times New Roman"/>
                <w:szCs w:val="21"/>
              </w:rPr>
              <w:t>901）</w:t>
            </w:r>
          </w:p>
        </w:tc>
        <w:tc>
          <w:tcPr>
            <w:tcW w:w="1701"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农副食品加工业</w:t>
            </w:r>
          </w:p>
          <w:p>
            <w:pPr>
              <w:overflowPunct w:val="0"/>
              <w:adjustRightInd w:val="0"/>
              <w:jc w:val="center"/>
              <w:rPr>
                <w:rFonts w:ascii="Times New Roman" w:hAnsi="Times New Roman"/>
                <w:szCs w:val="21"/>
              </w:rPr>
            </w:pPr>
            <w:r>
              <w:rPr>
                <w:rFonts w:ascii="Times New Roman" w:hAnsi="Times New Roman"/>
                <w:szCs w:val="21"/>
              </w:rPr>
              <w:t>（13）</w:t>
            </w:r>
          </w:p>
          <w:p>
            <w:pPr>
              <w:overflowPunct w:val="0"/>
              <w:adjustRightInd w:val="0"/>
              <w:jc w:val="center"/>
              <w:rPr>
                <w:rFonts w:ascii="Times New Roman" w:hAnsi="Times New Roman"/>
                <w:szCs w:val="21"/>
              </w:rPr>
            </w:pPr>
            <w:r>
              <w:rPr>
                <w:rFonts w:ascii="Times New Roman" w:hAnsi="Times New Roman"/>
                <w:szCs w:val="21"/>
              </w:rPr>
              <w:t>食品制造业</w:t>
            </w:r>
          </w:p>
          <w:p>
            <w:pPr>
              <w:overflowPunct w:val="0"/>
              <w:adjustRightInd w:val="0"/>
              <w:jc w:val="center"/>
              <w:rPr>
                <w:rFonts w:ascii="Times New Roman" w:hAnsi="Times New Roman"/>
                <w:szCs w:val="21"/>
              </w:rPr>
            </w:pPr>
            <w:r>
              <w:rPr>
                <w:rFonts w:ascii="Times New Roman" w:hAnsi="Times New Roman"/>
                <w:szCs w:val="21"/>
              </w:rPr>
              <w:t>（14）</w:t>
            </w:r>
          </w:p>
          <w:p>
            <w:pPr>
              <w:overflowPunct w:val="0"/>
              <w:adjustRightInd w:val="0"/>
              <w:jc w:val="center"/>
              <w:rPr>
                <w:rFonts w:ascii="Times New Roman" w:hAnsi="Times New Roman"/>
                <w:szCs w:val="21"/>
              </w:rPr>
            </w:pPr>
            <w:r>
              <w:rPr>
                <w:rFonts w:ascii="Times New Roman" w:hAnsi="Times New Roman"/>
                <w:szCs w:val="21"/>
              </w:rPr>
              <w:t>酒、饮料和精制</w:t>
            </w:r>
          </w:p>
          <w:p>
            <w:pPr>
              <w:overflowPunct w:val="0"/>
              <w:adjustRightInd w:val="0"/>
              <w:jc w:val="center"/>
              <w:rPr>
                <w:rFonts w:ascii="Times New Roman" w:hAnsi="Times New Roman"/>
                <w:szCs w:val="21"/>
              </w:rPr>
            </w:pPr>
            <w:r>
              <w:rPr>
                <w:rFonts w:ascii="Times New Roman" w:hAnsi="Times New Roman"/>
                <w:szCs w:val="21"/>
              </w:rPr>
              <w:t>茶制造业</w:t>
            </w:r>
          </w:p>
          <w:p>
            <w:pPr>
              <w:overflowPunct w:val="0"/>
              <w:adjustRightInd w:val="0"/>
              <w:jc w:val="center"/>
              <w:rPr>
                <w:rFonts w:ascii="Times New Roman" w:hAnsi="Times New Roman"/>
                <w:szCs w:val="21"/>
              </w:rPr>
            </w:pPr>
            <w:r>
              <w:rPr>
                <w:rFonts w:ascii="Times New Roman" w:hAnsi="Times New Roman"/>
                <w:szCs w:val="21"/>
              </w:rPr>
              <w:t>（15）</w:t>
            </w:r>
          </w:p>
          <w:p>
            <w:pPr>
              <w:overflowPunct w:val="0"/>
              <w:adjustRightInd w:val="0"/>
              <w:jc w:val="center"/>
              <w:rPr>
                <w:rFonts w:ascii="Times New Roman" w:hAnsi="Times New Roman"/>
                <w:szCs w:val="21"/>
              </w:rPr>
            </w:pPr>
            <w:r>
              <w:rPr>
                <w:rFonts w:ascii="Times New Roman" w:hAnsi="Times New Roman"/>
                <w:szCs w:val="21"/>
              </w:rPr>
              <w:t>餐饮业</w:t>
            </w:r>
          </w:p>
          <w:p>
            <w:pPr>
              <w:overflowPunct w:val="0"/>
              <w:adjustRightInd w:val="0"/>
              <w:jc w:val="center"/>
              <w:rPr>
                <w:rFonts w:ascii="Times New Roman" w:hAnsi="Times New Roman"/>
                <w:szCs w:val="21"/>
              </w:rPr>
            </w:pPr>
            <w:r>
              <w:rPr>
                <w:rFonts w:ascii="Times New Roman" w:hAnsi="Times New Roman"/>
                <w:szCs w:val="21"/>
              </w:rPr>
              <w:t>（62）</w:t>
            </w:r>
          </w:p>
          <w:p>
            <w:pPr>
              <w:overflowPunct w:val="0"/>
              <w:adjustRightInd w:val="0"/>
              <w:jc w:val="center"/>
              <w:rPr>
                <w:rFonts w:ascii="Times New Roman" w:hAnsi="Times New Roman"/>
                <w:szCs w:val="21"/>
              </w:rPr>
            </w:pPr>
            <w:r>
              <w:rPr>
                <w:rFonts w:ascii="Times New Roman" w:hAnsi="Times New Roman"/>
                <w:szCs w:val="21"/>
              </w:rPr>
              <w:t>质检技术服务业</w:t>
            </w:r>
          </w:p>
          <w:p>
            <w:pPr>
              <w:overflowPunct w:val="0"/>
              <w:adjustRightInd w:val="0"/>
              <w:jc w:val="center"/>
              <w:rPr>
                <w:rFonts w:ascii="Times New Roman" w:hAnsi="Times New Roman"/>
                <w:szCs w:val="21"/>
              </w:rPr>
            </w:pPr>
            <w:r>
              <w:rPr>
                <w:rFonts w:ascii="Times New Roman" w:hAnsi="Times New Roman"/>
                <w:szCs w:val="21"/>
              </w:rPr>
              <w:t>(745）</w:t>
            </w:r>
          </w:p>
        </w:tc>
        <w:tc>
          <w:tcPr>
            <w:tcW w:w="1984" w:type="dxa"/>
            <w:shd w:val="clear" w:color="auto" w:fill="auto"/>
            <w:vAlign w:val="center"/>
          </w:tcPr>
          <w:p>
            <w:pPr>
              <w:autoSpaceDE w:val="0"/>
              <w:autoSpaceDN w:val="0"/>
              <w:adjustRightInd w:val="0"/>
              <w:jc w:val="center"/>
              <w:rPr>
                <w:rFonts w:ascii="Times New Roman" w:hAnsi="Times New Roman"/>
                <w:kern w:val="0"/>
                <w:szCs w:val="21"/>
              </w:rPr>
            </w:pPr>
            <w:r>
              <w:rPr>
                <w:rFonts w:ascii="Times New Roman" w:hAnsi="Times New Roman"/>
                <w:kern w:val="0"/>
                <w:szCs w:val="21"/>
              </w:rPr>
              <w:t>农产品食品检验员</w:t>
            </w:r>
          </w:p>
          <w:p>
            <w:pPr>
              <w:autoSpaceDE w:val="0"/>
              <w:autoSpaceDN w:val="0"/>
              <w:adjustRightInd w:val="0"/>
              <w:jc w:val="center"/>
              <w:rPr>
                <w:rFonts w:ascii="Times New Roman" w:hAnsi="Times New Roman"/>
                <w:kern w:val="0"/>
                <w:szCs w:val="21"/>
              </w:rPr>
            </w:pPr>
            <w:r>
              <w:rPr>
                <w:rFonts w:ascii="Times New Roman" w:hAnsi="Times New Roman"/>
                <w:kern w:val="0"/>
                <w:szCs w:val="21"/>
              </w:rPr>
              <w:t>（4-08-05-01）</w:t>
            </w:r>
          </w:p>
          <w:p>
            <w:pPr>
              <w:autoSpaceDE w:val="0"/>
              <w:autoSpaceDN w:val="0"/>
              <w:adjustRightInd w:val="0"/>
              <w:jc w:val="center"/>
              <w:rPr>
                <w:rFonts w:ascii="Times New Roman" w:hAnsi="Times New Roman"/>
                <w:kern w:val="0"/>
                <w:szCs w:val="21"/>
              </w:rPr>
            </w:pPr>
            <w:r>
              <w:rPr>
                <w:rFonts w:ascii="Times New Roman" w:hAnsi="Times New Roman"/>
                <w:kern w:val="0"/>
                <w:szCs w:val="21"/>
              </w:rPr>
              <w:t>质量认证认可工</w:t>
            </w:r>
          </w:p>
          <w:p>
            <w:pPr>
              <w:autoSpaceDE w:val="0"/>
              <w:autoSpaceDN w:val="0"/>
              <w:adjustRightInd w:val="0"/>
              <w:jc w:val="center"/>
              <w:rPr>
                <w:rFonts w:ascii="Times New Roman" w:hAnsi="Times New Roman"/>
                <w:kern w:val="0"/>
                <w:szCs w:val="21"/>
              </w:rPr>
            </w:pPr>
            <w:r>
              <w:rPr>
                <w:rFonts w:ascii="Times New Roman" w:hAnsi="Times New Roman"/>
                <w:kern w:val="0"/>
                <w:szCs w:val="21"/>
              </w:rPr>
              <w:t>程技术人员</w:t>
            </w:r>
          </w:p>
          <w:p>
            <w:pPr>
              <w:autoSpaceDE w:val="0"/>
              <w:autoSpaceDN w:val="0"/>
              <w:adjustRightInd w:val="0"/>
              <w:jc w:val="center"/>
              <w:rPr>
                <w:rFonts w:ascii="Times New Roman" w:hAnsi="Times New Roman"/>
                <w:szCs w:val="21"/>
              </w:rPr>
            </w:pPr>
            <w:r>
              <w:rPr>
                <w:rFonts w:ascii="Times New Roman" w:hAnsi="Times New Roman"/>
                <w:kern w:val="0"/>
                <w:szCs w:val="21"/>
              </w:rPr>
              <w:t>（2-02-29-04）</w:t>
            </w:r>
          </w:p>
        </w:tc>
        <w:tc>
          <w:tcPr>
            <w:tcW w:w="1846"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农产品食品检验；</w:t>
            </w:r>
          </w:p>
          <w:p>
            <w:pPr>
              <w:overflowPunct w:val="0"/>
              <w:adjustRightInd w:val="0"/>
              <w:jc w:val="center"/>
              <w:rPr>
                <w:rFonts w:ascii="Times New Roman" w:hAnsi="Times New Roman"/>
                <w:szCs w:val="21"/>
              </w:rPr>
            </w:pPr>
            <w:r>
              <w:rPr>
                <w:rFonts w:ascii="Times New Roman" w:hAnsi="Times New Roman"/>
                <w:szCs w:val="21"/>
              </w:rPr>
              <w:t>质量和认证认可；</w:t>
            </w:r>
          </w:p>
          <w:p>
            <w:pPr>
              <w:overflowPunct w:val="0"/>
              <w:adjustRightInd w:val="0"/>
              <w:jc w:val="center"/>
              <w:rPr>
                <w:rFonts w:ascii="Times New Roman" w:hAnsi="Times New Roman"/>
                <w:szCs w:val="21"/>
              </w:rPr>
            </w:pPr>
            <w:r>
              <w:rPr>
                <w:rFonts w:ascii="Times New Roman" w:hAnsi="Times New Roman"/>
                <w:szCs w:val="21"/>
              </w:rPr>
              <w:t>检验检疫；</w:t>
            </w:r>
          </w:p>
        </w:tc>
        <w:tc>
          <w:tcPr>
            <w:tcW w:w="1273"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农产品食品检验员</w:t>
            </w:r>
          </w:p>
        </w:tc>
      </w:tr>
    </w:tbl>
    <w:p>
      <w:pPr>
        <w:overflowPunct w:val="0"/>
        <w:adjustRightInd w:val="0"/>
        <w:spacing w:before="156" w:beforeLines="50"/>
        <w:ind w:firstLine="482" w:firstLineChars="200"/>
        <w:outlineLvl w:val="0"/>
        <w:rPr>
          <w:rFonts w:ascii="Times New Roman" w:hAnsi="Times New Roman"/>
          <w:b/>
          <w:bCs/>
          <w:sz w:val="24"/>
          <w:szCs w:val="24"/>
        </w:rPr>
      </w:pPr>
      <w:r>
        <w:rPr>
          <w:rFonts w:ascii="Times New Roman" w:hAnsi="Times New Roman"/>
          <w:b/>
          <w:bCs/>
          <w:sz w:val="24"/>
          <w:szCs w:val="24"/>
        </w:rPr>
        <w:t>五、培养目标与培养规格</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（一）培养目标</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培养理想信念坚定，德、智、体、美、劳全面发展，具有一定的科学文化水平，良好的人文素养、职业道德和创新意识，精益求精的工匠精神，较强的就业能力和可持续发展的能力，掌握食品检测专业知识和技术技能，食品质量安全监测、控制与管理基本知识和综合职业能力，面向食品制造、农副食品加工、酒、饮料制造、餐饮和质检技术服务等行业，能够从事食品产业链生产经营相关环节安全控制、质量监控、管理等的复合型技术技能人才。</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（二）培养规格</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本专业毕业生应在素质、知识和能力等方面达到以下要求。</w:t>
      </w:r>
    </w:p>
    <w:p>
      <w:pPr>
        <w:overflowPunct w:val="0"/>
        <w:adjustRightInd w:val="0"/>
        <w:ind w:firstLine="480" w:firstLineChars="200"/>
        <w:rPr>
          <w:rFonts w:ascii="Times New Roman" w:hAnsi="Times New Roman"/>
          <w:sz w:val="24"/>
          <w:szCs w:val="24"/>
        </w:rPr>
      </w:pPr>
      <w:bookmarkStart w:id="1" w:name="_Hlk16088242"/>
      <w:r>
        <w:rPr>
          <w:rFonts w:ascii="Times New Roman" w:hAnsi="Times New Roman"/>
          <w:sz w:val="24"/>
          <w:szCs w:val="24"/>
        </w:rPr>
        <w:t>1．素质</w:t>
      </w:r>
    </w:p>
    <w:bookmarkEnd w:id="1"/>
    <w:p>
      <w:pPr>
        <w:overflowPunct w:val="0"/>
        <w:adjustRightInd w:val="0"/>
        <w:ind w:firstLine="480" w:firstLineChars="200"/>
        <w:rPr>
          <w:rFonts w:ascii="Times New Roman" w:hAnsi="Times New Roman"/>
          <w:sz w:val="24"/>
          <w:szCs w:val="24"/>
        </w:rPr>
      </w:pPr>
      <w:r>
        <w:rPr>
          <w:rFonts w:ascii="Times New Roman" w:hAnsi="Times New Roman"/>
          <w:sz w:val="24"/>
          <w:szCs w:val="24"/>
        </w:rPr>
        <w:t>（1）坚定拥护中国共产党领导和我国社会主义制度，在习近平新时代中国特色社会主义思想指引下，践行社会主义核心价值观，具有深厚的爱国情感和中华民族自豪感；</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（2）崇尚宪法、遵法守纪、崇德向善、诚实守信、尊重生命、热爱劳动，履行道德准则和行为规范，具有社会责任感和社会参与意识；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（3）具有质量意识、环保意识、安全意识、信息素养、工匠精神、创新思维；</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（4）勇于奋斗、乐观向上，具有自我管理能力、职业生涯规划的意识，有较强的集体意识和团队合作精神；</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（5）具有健康的体魄、心理和健全的人格，掌握基本运动知识和一两项运动技能，养成良好的健身与卫生习惯，良好的行为习惯；</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（6）具有一定的审美和人文素养，能够形成一两项艺术特长或爱好。</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2．知识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（1）掌握必备的思想政治理论、科学文化基础知识和中华优秀传统文化知识；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（2）熟悉与本专业相关的法律法规以及文明生产、环境保护、安全消防等知识；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（3）掌握本专业必需的分析化学、食品生物化学、微生物学等专业基础知识；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（4）掌握营养学基础知识及人群营养、公共营养相关知识，掌握膳食调查、食谱编制、营养教育的基本方法；</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（5）掌握食品检验的基础理论知识，检验检测的原理和方法，食品检验的规范和要求，食品分析检验仪器的工作原理、使用和维护方法；；</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（6）掌握功能性食品（营养强化食品、保健食品等）开发与应用相关知识；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（7）熟悉食品安全与质量管理的基本原理和主要方法；</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（8）熟悉国内国际食品标准与法规；</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（9）熟悉食品行业发展动态，了解新产品、新技术、新方法；</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（10）熟悉主要食品的品质特点，了解食品生产典型工艺流程。</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3．能力</w:t>
      </w:r>
    </w:p>
    <w:p>
      <w:pPr>
        <w:overflowPunct w:val="0"/>
        <w:adjustRightInd w:val="0"/>
        <w:ind w:firstLine="480" w:firstLineChars="200"/>
        <w:outlineLvl w:val="0"/>
        <w:rPr>
          <w:rFonts w:ascii="Times New Roman" w:hAnsi="Times New Roman"/>
          <w:sz w:val="24"/>
          <w:szCs w:val="24"/>
        </w:rPr>
      </w:pPr>
      <w:r>
        <w:rPr>
          <w:rFonts w:ascii="Times New Roman" w:hAnsi="Times New Roman"/>
          <w:sz w:val="24"/>
          <w:szCs w:val="24"/>
        </w:rPr>
        <w:t>（1）专业核心能力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①</w:t>
      </w:r>
      <w:r>
        <w:rPr>
          <w:rFonts w:ascii="Times New Roman" w:hAnsi="Times New Roman"/>
          <w:sz w:val="24"/>
          <w:szCs w:val="24"/>
        </w:rPr>
        <w:t>食品理化检验能力；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②</w:t>
      </w:r>
      <w:r>
        <w:rPr>
          <w:rFonts w:ascii="Times New Roman" w:hAnsi="Times New Roman"/>
          <w:sz w:val="24"/>
          <w:szCs w:val="24"/>
        </w:rPr>
        <w:t>食品微生物检验能力；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③</w:t>
      </w:r>
      <w:r>
        <w:rPr>
          <w:rFonts w:ascii="Times New Roman" w:hAnsi="Times New Roman"/>
          <w:sz w:val="24"/>
          <w:szCs w:val="24"/>
        </w:rPr>
        <w:t>食品仪器分析能力；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④</w:t>
      </w:r>
      <w:r>
        <w:rPr>
          <w:rFonts w:ascii="Times New Roman" w:hAnsi="Times New Roman"/>
          <w:sz w:val="24"/>
          <w:szCs w:val="24"/>
        </w:rPr>
        <w:t>食品安全与质量管理、监控的能力；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⑤</w:t>
      </w:r>
      <w:r>
        <w:rPr>
          <w:rFonts w:ascii="Times New Roman" w:hAnsi="Times New Roman"/>
          <w:sz w:val="24"/>
          <w:szCs w:val="24"/>
        </w:rPr>
        <w:t>食品营养分析、配餐、咨询能力；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⑥</w:t>
      </w:r>
      <w:r>
        <w:rPr>
          <w:rFonts w:ascii="Times New Roman" w:hAnsi="Times New Roman"/>
          <w:sz w:val="24"/>
          <w:szCs w:val="24"/>
        </w:rPr>
        <w:t>可持续发展能力、信息交流能力、技术创新和适应能力。</w:t>
      </w:r>
    </w:p>
    <w:p>
      <w:pPr>
        <w:overflowPunct w:val="0"/>
        <w:adjustRightInd w:val="0"/>
        <w:ind w:firstLine="480" w:firstLineChars="200"/>
        <w:outlineLvl w:val="0"/>
        <w:rPr>
          <w:rFonts w:ascii="Times New Roman" w:hAnsi="Times New Roman"/>
          <w:sz w:val="24"/>
          <w:szCs w:val="24"/>
        </w:rPr>
      </w:pPr>
      <w:r>
        <w:rPr>
          <w:rFonts w:ascii="Times New Roman" w:hAnsi="Times New Roman"/>
          <w:sz w:val="24"/>
          <w:szCs w:val="24"/>
        </w:rPr>
        <w:t>（2）职业岗位能力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①</w:t>
      </w:r>
      <w:r>
        <w:rPr>
          <w:rFonts w:ascii="Times New Roman" w:hAnsi="Times New Roman"/>
          <w:sz w:val="24"/>
          <w:szCs w:val="24"/>
        </w:rPr>
        <w:t>具有良好的思想政治素质和职业道德，遵纪守法；善于交流沟通和团队合作能力；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②</w:t>
      </w:r>
      <w:r>
        <w:rPr>
          <w:rFonts w:ascii="Times New Roman" w:hAnsi="Times New Roman"/>
          <w:sz w:val="24"/>
          <w:szCs w:val="24"/>
        </w:rPr>
        <w:t>有创新精神和创造能力及终身学习能力；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③</w:t>
      </w:r>
      <w:r>
        <w:rPr>
          <w:rFonts w:ascii="Times New Roman" w:hAnsi="Times New Roman"/>
          <w:sz w:val="24"/>
          <w:szCs w:val="24"/>
        </w:rPr>
        <w:t>具有确切的汉语语言、文字表达能力，较强的英语应用能力和熟练使用计算机办公软件的能力；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④</w:t>
      </w:r>
      <w:r>
        <w:rPr>
          <w:rFonts w:ascii="Times New Roman" w:hAnsi="Times New Roman"/>
          <w:sz w:val="24"/>
          <w:szCs w:val="24"/>
        </w:rPr>
        <w:t>具有采集样品和处理样品的能力；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⑤</w:t>
      </w:r>
      <w:r>
        <w:rPr>
          <w:rFonts w:ascii="Times New Roman" w:hAnsi="Times New Roman"/>
          <w:sz w:val="24"/>
          <w:szCs w:val="24"/>
        </w:rPr>
        <w:t>具有应用化学分析与物理分析的知识与方法对样品进行理化检验与分析的能力；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⑥</w:t>
      </w:r>
      <w:r>
        <w:rPr>
          <w:rFonts w:ascii="Times New Roman" w:hAnsi="Times New Roman"/>
          <w:sz w:val="24"/>
          <w:szCs w:val="24"/>
        </w:rPr>
        <w:t>具有应用生物学分析方法对样品进行微生物检验与分析的能力；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⑦</w:t>
      </w:r>
      <w:r>
        <w:rPr>
          <w:rFonts w:ascii="Times New Roman" w:hAnsi="Times New Roman"/>
          <w:sz w:val="24"/>
          <w:szCs w:val="24"/>
        </w:rPr>
        <w:t>具有应用各种先进检测设备、仪器对样品进行定性定量检测的能力；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⑧</w:t>
      </w:r>
      <w:r>
        <w:rPr>
          <w:rFonts w:ascii="Times New Roman" w:hAnsi="Times New Roman"/>
          <w:sz w:val="24"/>
          <w:szCs w:val="24"/>
        </w:rPr>
        <w:t>具有进行食品感官检验的能力、及对检测结果的分析能力和编制检测分析报告的能力；</w:t>
      </w:r>
    </w:p>
    <w:p>
      <w:pPr>
        <w:overflowPunct w:val="0"/>
        <w:adjustRightInd w:val="0"/>
        <w:ind w:firstLine="480" w:firstLineChars="200"/>
        <w:outlineLvl w:val="0"/>
        <w:rPr>
          <w:rFonts w:ascii="Times New Roman" w:hAnsi="Times New Roman"/>
          <w:sz w:val="24"/>
          <w:szCs w:val="24"/>
        </w:rPr>
      </w:pPr>
      <w:r>
        <w:rPr>
          <w:rFonts w:hint="eastAsia" w:ascii="宋体" w:hAnsi="宋体" w:cs="宋体"/>
          <w:sz w:val="24"/>
          <w:szCs w:val="24"/>
        </w:rPr>
        <w:t>⑨</w:t>
      </w:r>
      <w:r>
        <w:rPr>
          <w:rFonts w:ascii="Times New Roman" w:hAnsi="Times New Roman"/>
          <w:sz w:val="24"/>
          <w:szCs w:val="24"/>
        </w:rPr>
        <w:t>应用食品安全与质量控制技术对生产过程进行评价监控的能力。</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六、课程设置及要求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主要包括公共基础课程和专业（技能）课程。</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（一）公共基础课程</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公共基础课教学内容及要求见表二。</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表二   公共基础课程教学内容及要求</w:t>
      </w:r>
    </w:p>
    <w:tbl>
      <w:tblPr>
        <w:tblStyle w:val="8"/>
        <w:tblW w:w="963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1109"/>
        <w:gridCol w:w="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blHeader/>
        </w:trPr>
        <w:tc>
          <w:tcPr>
            <w:tcW w:w="748"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9"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78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6" w:hRule="atLeast"/>
        </w:trPr>
        <w:tc>
          <w:tcPr>
            <w:tcW w:w="748"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c>
          <w:tcPr>
            <w:tcW w:w="1109"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思想道德修养与法律基础</w:t>
            </w:r>
          </w:p>
        </w:tc>
        <w:tc>
          <w:tcPr>
            <w:tcW w:w="7780"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4" w:hRule="atLeast"/>
        </w:trPr>
        <w:tc>
          <w:tcPr>
            <w:tcW w:w="748"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c>
          <w:tcPr>
            <w:tcW w:w="1109"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毛泽东思想和中国特色社会主义理论体系概论</w:t>
            </w:r>
          </w:p>
        </w:tc>
        <w:tc>
          <w:tcPr>
            <w:tcW w:w="7780" w:type="dxa"/>
            <w:shd w:val="clear" w:color="auto" w:fill="auto"/>
            <w:vAlign w:val="center"/>
          </w:tcPr>
          <w:p>
            <w:pPr>
              <w:overflowPunct w:val="0"/>
              <w:adjustRightInd w:val="0"/>
              <w:spacing w:before="156" w:beforeLines="50" w:after="156" w:afterLines="50"/>
              <w:ind w:firstLine="420" w:firstLineChars="200"/>
              <w:rPr>
                <w:rFonts w:ascii="Times New Roman" w:hAnsi="Times New Roman"/>
                <w:szCs w:val="21"/>
              </w:rPr>
            </w:pPr>
            <w:r>
              <w:rPr>
                <w:rFonts w:ascii="Times New Roman" w:hAnsi="Times New Roman"/>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 w:hRule="atLeast"/>
        </w:trPr>
        <w:tc>
          <w:tcPr>
            <w:tcW w:w="748"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3</w:t>
            </w:r>
          </w:p>
        </w:tc>
        <w:tc>
          <w:tcPr>
            <w:tcW w:w="1109"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英语</w:t>
            </w:r>
          </w:p>
        </w:tc>
        <w:tc>
          <w:tcPr>
            <w:tcW w:w="7780" w:type="dxa"/>
            <w:shd w:val="clear" w:color="auto" w:fill="auto"/>
            <w:vAlign w:val="center"/>
          </w:tcPr>
          <w:p>
            <w:pPr>
              <w:overflowPunct w:val="0"/>
              <w:adjustRightInd w:val="0"/>
              <w:spacing w:before="156" w:beforeLines="50" w:after="156" w:afterLines="50"/>
              <w:ind w:firstLine="420" w:firstLineChars="200"/>
              <w:rPr>
                <w:rFonts w:ascii="Times New Roman" w:hAnsi="Times New Roman"/>
                <w:szCs w:val="21"/>
              </w:rPr>
            </w:pPr>
            <w:r>
              <w:rPr>
                <w:rFonts w:ascii="Times New Roman" w:hAnsi="Times New Roman"/>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 w:hRule="atLeast"/>
        </w:trPr>
        <w:tc>
          <w:tcPr>
            <w:tcW w:w="748"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4</w:t>
            </w:r>
          </w:p>
        </w:tc>
        <w:tc>
          <w:tcPr>
            <w:tcW w:w="1109"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高等数学</w:t>
            </w:r>
          </w:p>
        </w:tc>
        <w:tc>
          <w:tcPr>
            <w:tcW w:w="7780" w:type="dxa"/>
            <w:shd w:val="clear" w:color="auto" w:fill="auto"/>
            <w:vAlign w:val="center"/>
          </w:tcPr>
          <w:p>
            <w:pPr>
              <w:overflowPunct w:val="0"/>
              <w:adjustRightInd w:val="0"/>
              <w:spacing w:before="156" w:beforeLines="50" w:after="156" w:afterLines="50"/>
              <w:ind w:firstLine="420" w:firstLineChars="200"/>
              <w:rPr>
                <w:rFonts w:ascii="Times New Roman" w:hAnsi="Times New Roman"/>
                <w:szCs w:val="21"/>
              </w:rPr>
            </w:pPr>
            <w:r>
              <w:rPr>
                <w:rFonts w:ascii="Times New Roman" w:hAnsi="Times New Roman"/>
                <w:szCs w:val="21"/>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7" w:hRule="atLeast"/>
        </w:trPr>
        <w:tc>
          <w:tcPr>
            <w:tcW w:w="748"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5</w:t>
            </w:r>
          </w:p>
        </w:tc>
        <w:tc>
          <w:tcPr>
            <w:tcW w:w="1109"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大学生心理健康教育</w:t>
            </w:r>
          </w:p>
        </w:tc>
        <w:tc>
          <w:tcPr>
            <w:tcW w:w="7780"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1" w:hRule="atLeast"/>
        </w:trPr>
        <w:tc>
          <w:tcPr>
            <w:tcW w:w="748"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6</w:t>
            </w:r>
          </w:p>
        </w:tc>
        <w:tc>
          <w:tcPr>
            <w:tcW w:w="1109"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体育</w:t>
            </w:r>
          </w:p>
        </w:tc>
        <w:tc>
          <w:tcPr>
            <w:tcW w:w="7780"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体育》课程中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 w:hRule="atLeast"/>
        </w:trPr>
        <w:tc>
          <w:tcPr>
            <w:tcW w:w="748"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7</w:t>
            </w:r>
          </w:p>
        </w:tc>
        <w:tc>
          <w:tcPr>
            <w:tcW w:w="1109"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创业教育与就业指导</w:t>
            </w:r>
          </w:p>
        </w:tc>
        <w:tc>
          <w:tcPr>
            <w:tcW w:w="7780" w:type="dxa"/>
            <w:shd w:val="clear" w:color="auto" w:fill="auto"/>
            <w:vAlign w:val="center"/>
          </w:tcPr>
          <w:p>
            <w:pPr>
              <w:overflowPunct w:val="0"/>
              <w:adjustRightInd w:val="0"/>
              <w:spacing w:before="156" w:beforeLines="50" w:after="156" w:afterLines="50"/>
              <w:ind w:firstLine="420" w:firstLineChars="200"/>
              <w:rPr>
                <w:rFonts w:ascii="Times New Roman" w:hAnsi="Times New Roman"/>
                <w:szCs w:val="21"/>
              </w:rPr>
            </w:pPr>
            <w:r>
              <w:rPr>
                <w:rFonts w:ascii="Times New Roman" w:hAnsi="Times New Roman"/>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3" w:hRule="atLeast"/>
        </w:trPr>
        <w:tc>
          <w:tcPr>
            <w:tcW w:w="748"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c>
          <w:tcPr>
            <w:tcW w:w="1109"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军事教育与训练</w:t>
            </w:r>
          </w:p>
        </w:tc>
        <w:tc>
          <w:tcPr>
            <w:tcW w:w="7780"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军事教育与训练》课程提高学生的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trPr>
        <w:tc>
          <w:tcPr>
            <w:tcW w:w="748"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9</w:t>
            </w:r>
          </w:p>
        </w:tc>
        <w:tc>
          <w:tcPr>
            <w:tcW w:w="1109"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计算机办公软件应用</w:t>
            </w:r>
          </w:p>
        </w:tc>
        <w:tc>
          <w:tcPr>
            <w:tcW w:w="7780"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 w:hRule="atLeast"/>
        </w:trPr>
        <w:tc>
          <w:tcPr>
            <w:tcW w:w="748"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10</w:t>
            </w:r>
          </w:p>
        </w:tc>
        <w:tc>
          <w:tcPr>
            <w:tcW w:w="1109"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中华优秀传统文化</w:t>
            </w:r>
          </w:p>
        </w:tc>
        <w:tc>
          <w:tcPr>
            <w:tcW w:w="7780"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中华优秀传统文化》课程教学全面贯彻素质教育方针和立德树人的根本任务，以提高职业院校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overflowPunct w:val="0"/>
        <w:adjustRightInd w:val="0"/>
        <w:spacing w:before="156" w:beforeLines="50"/>
        <w:ind w:firstLine="482" w:firstLineChars="200"/>
        <w:outlineLvl w:val="0"/>
        <w:rPr>
          <w:rFonts w:ascii="Times New Roman" w:hAnsi="Times New Roman"/>
          <w:b/>
          <w:sz w:val="24"/>
          <w:szCs w:val="24"/>
        </w:rPr>
      </w:pPr>
      <w:r>
        <w:rPr>
          <w:rFonts w:ascii="Times New Roman" w:hAnsi="Times New Roman"/>
          <w:b/>
          <w:sz w:val="24"/>
          <w:szCs w:val="24"/>
        </w:rPr>
        <w:t>（二）专业（技能）课程</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1．专业一般课程</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专业一般课程教学内容与要求见表三。</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表三    专业一般课程教学内容及要求</w:t>
      </w:r>
    </w:p>
    <w:tbl>
      <w:tblPr>
        <w:tblStyle w:val="8"/>
        <w:tblW w:w="96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blHeader/>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801"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分析化学</w:t>
            </w:r>
          </w:p>
        </w:tc>
        <w:tc>
          <w:tcPr>
            <w:tcW w:w="7801" w:type="dxa"/>
            <w:shd w:val="clear" w:color="auto" w:fill="auto"/>
            <w:vAlign w:val="center"/>
          </w:tcPr>
          <w:p>
            <w:pPr>
              <w:overflowPunct w:val="0"/>
              <w:adjustRightInd w:val="0"/>
              <w:spacing w:before="156" w:beforeLines="50"/>
              <w:ind w:firstLine="420" w:firstLineChars="200"/>
              <w:rPr>
                <w:rFonts w:ascii="Times New Roman" w:hAnsi="Times New Roman"/>
                <w:szCs w:val="21"/>
              </w:rPr>
            </w:pPr>
            <w:r>
              <w:rPr>
                <w:rFonts w:ascii="Times New Roman" w:hAnsi="Times New Roman"/>
                <w:szCs w:val="21"/>
              </w:rPr>
              <w:t>《分析化学》课程是食品营养与检测专业的一门专业一般课程，本课程重点介绍分析化学的知识和技能，包括酸碱滴定法、配位滴定法沉淀滴定法、氧化还原滴定法等的知识和技能。</w:t>
            </w:r>
          </w:p>
          <w:p>
            <w:pPr>
              <w:overflowPunct w:val="0"/>
              <w:adjustRightInd w:val="0"/>
              <w:spacing w:after="156" w:afterLines="50"/>
              <w:ind w:firstLine="420" w:firstLineChars="200"/>
              <w:rPr>
                <w:rFonts w:ascii="Times New Roman" w:hAnsi="Times New Roman"/>
                <w:szCs w:val="21"/>
              </w:rPr>
            </w:pPr>
            <w:r>
              <w:rPr>
                <w:rFonts w:ascii="Times New Roman" w:hAnsi="Times New Roman"/>
                <w:szCs w:val="21"/>
              </w:rPr>
              <w:t>通过本课程的学习，使学生对分析化学有了全面系统的了解，重点掌握滴定分析和称量分析的基本原理和操作技能；培养学生严谨求实的科学态度，提高学生分析问题、解决问题的能力，为学生学习后续检测课程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食品生物化学</w:t>
            </w:r>
          </w:p>
        </w:tc>
        <w:tc>
          <w:tcPr>
            <w:tcW w:w="7801" w:type="dxa"/>
            <w:shd w:val="clear" w:color="auto" w:fill="auto"/>
            <w:vAlign w:val="center"/>
          </w:tcPr>
          <w:p>
            <w:pPr>
              <w:overflowPunct w:val="0"/>
              <w:adjustRightInd w:val="0"/>
              <w:spacing w:before="156" w:beforeLines="50"/>
              <w:ind w:firstLine="420" w:firstLineChars="200"/>
              <w:rPr>
                <w:rFonts w:ascii="Times New Roman" w:hAnsi="Times New Roman"/>
                <w:szCs w:val="21"/>
              </w:rPr>
            </w:pPr>
            <w:r>
              <w:rPr>
                <w:rFonts w:ascii="Times New Roman" w:hAnsi="Times New Roman"/>
                <w:szCs w:val="21"/>
              </w:rPr>
              <w:t>《食品生物化学》通过对食品营养价值、安全性和风味特征的研究，揭示食品的化学组成、结构、功能和理化性质，以及这些物质在人体内的化学变化和调节规律。食品原料保鲜，食品加工方法的改进，新型方便食品、健康食品的开发，都需要建立在食品生物化学的理论与技能基础之上。</w:t>
            </w:r>
          </w:p>
          <w:p>
            <w:pPr>
              <w:overflowPunct w:val="0"/>
              <w:adjustRightInd w:val="0"/>
              <w:spacing w:after="156" w:afterLines="50"/>
              <w:ind w:firstLine="420" w:firstLineChars="200"/>
              <w:rPr>
                <w:rFonts w:ascii="Times New Roman" w:hAnsi="Times New Roman"/>
                <w:szCs w:val="21"/>
              </w:rPr>
            </w:pPr>
            <w:r>
              <w:rPr>
                <w:rFonts w:ascii="Times New Roman" w:hAnsi="Times New Roman"/>
                <w:szCs w:val="21"/>
              </w:rPr>
              <w:t>通过本课程的学习，使学生具有扎实的理论知识、综合分析和解决问题的能力、熟练的实验动手技能，为学生进一步学习食品加工与保藏技术提供一个必要的基础，同时也为学生今后从事食品加工、保藏和产品开发打下一个较为宽广的理论与技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3</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食品机械与设备</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机械与设备》课程主要内容包括物料输送机械与设备，原料预处理机械与设备，粉碎、均质及混合机械与设备，热加工机械与设备，食品冷加工机械与设备，成型、挤压机械与设备，装料及包装机械，生化反应设备等知识。</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使学生获得必要的有关食品工厂机械与设备的基础理论、基本知识和基本技能，在食品的生产加工、开发食品新产品等项目的工程设计上，可以熟练地对生产设备进行选型，并能对组成食品生产线的设备做出最佳选择，为学生毕业后从事各种食品生产和科研工作打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4</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食品专业英语</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本课程是研究食品专业文献阅读、翻译的一门学科。本课程的任务是引导学生进行专业英语科技论文的阅读和理解，能够使用英语撰写专业文献摘要和简单的英文文章。</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使学生具备一定的食品专业英语词汇和专业术语，掌握食品专业英语文献的特点，培养学生能够阅读本专业英文文献，并出具具有能用英语撰写科技论文摘要的能力，为专业学生以后的工作、科研打好专业英语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5</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食品营养与健康</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《食品营养与健康》课程主要涉及的内容有食品营养素及其生理功能、各类食品的营养价值、膳食营养平衡、不同人群的营养需求以及营养咨询和营养教育。</w:t>
            </w:r>
          </w:p>
          <w:p>
            <w:pPr>
              <w:overflowPunct w:val="0"/>
              <w:adjustRightInd w:val="0"/>
              <w:ind w:firstLine="420" w:firstLineChars="200"/>
              <w:rPr>
                <w:rFonts w:ascii="Times New Roman" w:hAnsi="Times New Roman"/>
                <w:szCs w:val="21"/>
              </w:rPr>
            </w:pPr>
            <w:r>
              <w:rPr>
                <w:rFonts w:ascii="Times New Roman" w:hAnsi="Times New Roman"/>
                <w:szCs w:val="21"/>
              </w:rPr>
              <w:t>通过本课程学习，学生能够掌握营养素基础知识、食物营养成分、食品营养与食品加工、 营养与能量平衡，了解由于营养摄入失衡而造成的相关疾病，熟悉不同人群的能量代谢状况以及特殊生理条件下如婴幼儿、学龄前儿童、青少年、孕妇、乳母、老年人等各种人群的特殊营养需要，使其具备营养知识综合运用能力，具备沟通、合作、统筹规划等职业素质，及食品营养不良判别、指导与咨询、及疾病营养的指导等基本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blHeader/>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801"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6</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szCs w:val="21"/>
              </w:rPr>
              <w:t>食品添加剂</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《食品添加剂》主要介绍了食品防腐剂、抗氧化剂、食品着色剂、护色剂、食用香料、香精等多种食品添加剂的种类、性质、机理及其应用。</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让学生了解常用食品添加剂的性质、作用及其应用，强化相关的法制观念，正确认识和理解食品添加剂真实的科学属性，提高专业学术水平，增强学生对食品添加剂的解释宣传和专业引导能力，为发展食品工业、开拓食品市场培养食用的新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7</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食品掺伪鉴别检验</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掺伪鉴别检验》课程主要针对粮品、食用油脂、肉、禽、蛋、水产类、乳及乳制品、糖、蜜类、调味品等几十种食品分别介绍产品质量最新标准和有关参伪而定简便易行的快速检测方法、鉴别检验新技术以及防伪技术。</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通过本课程的学习，让学生了解各类食品的感官特性、理化指标、检验方法和发展动态，理解其方法、原理，掌握操作技能，学会运用理论知识解决实际问题，培养学生发现、分析、解决问题的能力。</w:t>
            </w:r>
          </w:p>
        </w:tc>
      </w:tr>
    </w:tbl>
    <w:p>
      <w:pPr>
        <w:overflowPunct w:val="0"/>
        <w:adjustRightInd w:val="0"/>
        <w:ind w:firstLine="480" w:firstLineChars="200"/>
        <w:rPr>
          <w:rFonts w:ascii="Times New Roman" w:hAnsi="Times New Roman"/>
          <w:sz w:val="24"/>
          <w:szCs w:val="24"/>
        </w:rPr>
      </w:pPr>
      <w:r>
        <w:rPr>
          <w:rFonts w:ascii="Times New Roman" w:hAnsi="Times New Roman"/>
          <w:sz w:val="24"/>
          <w:szCs w:val="24"/>
        </w:rPr>
        <w:t>2．专业核心课程</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专业核心课程教学内容与要求见表四。</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表四    专业核心课程教学内容及要求</w:t>
      </w:r>
    </w:p>
    <w:tbl>
      <w:tblPr>
        <w:tblStyle w:val="8"/>
        <w:tblW w:w="96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blHeader/>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801"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食品理化检验与分析</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理化检验与分析》是食品营养与检测专业中食品检测核心能力的主要支撑课程，主要内容包括：食品检验程序与要求，样品的采集与制备、食品中主要成分的测定方法，食品理化检验的原理和操作技术，检验方案制定、检验数据处理，产品品质判断等。课程以农产品食品检验员要求为目标，以食品中常见成分测定方法为范围，以“食品安全国家标准”为依据来构建。</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使学生掌握食品一般营养成分、食品添加剂分析的基本原理、相关方法和实验操作技能，能完成本专业相关岗位的工作任务，养成良好的职业道德和文明生产习惯，胜任食品检验检测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食品微生物检测技术</w:t>
            </w:r>
          </w:p>
        </w:tc>
        <w:tc>
          <w:tcPr>
            <w:tcW w:w="7801" w:type="dxa"/>
            <w:shd w:val="clear" w:color="auto" w:fill="auto"/>
            <w:vAlign w:val="center"/>
          </w:tcPr>
          <w:p>
            <w:pPr>
              <w:overflowPunct w:val="0"/>
              <w:adjustRightInd w:val="0"/>
              <w:spacing w:before="156" w:beforeLines="50"/>
              <w:ind w:firstLine="420" w:firstLineChars="200"/>
              <w:rPr>
                <w:rFonts w:ascii="Times New Roman" w:hAnsi="Times New Roman"/>
                <w:szCs w:val="21"/>
              </w:rPr>
            </w:pPr>
            <w:r>
              <w:rPr>
                <w:rFonts w:ascii="Times New Roman" w:hAnsi="Times New Roman"/>
                <w:szCs w:val="21"/>
              </w:rPr>
              <w:t>《食品微生物检验技术》是食品加工技术专业食品检测核心能力的主要支撑课程，课程主要内容包括食品微生物基本知识、食品微生物检验基本技能、食品微生物检验技术及综合实训等模块。课程以“农产品食品检验员”微生物学检验部分的要求为目标，以“食品安全国家标准”为依据来构建。</w:t>
            </w:r>
          </w:p>
          <w:p>
            <w:pPr>
              <w:overflowPunct w:val="0"/>
              <w:adjustRightInd w:val="0"/>
              <w:spacing w:after="156" w:afterLines="50"/>
              <w:ind w:firstLine="420" w:firstLineChars="200"/>
              <w:rPr>
                <w:rFonts w:ascii="Times New Roman" w:hAnsi="Times New Roman"/>
                <w:szCs w:val="21"/>
              </w:rPr>
            </w:pPr>
            <w:r>
              <w:rPr>
                <w:rFonts w:ascii="Times New Roman" w:hAnsi="Times New Roman"/>
                <w:szCs w:val="21"/>
              </w:rPr>
              <w:t>通过本课程的学习，使学生熟悉微生物的基本形态结构、生长繁殖的规律和菌落特征，掌握显微镜镜检技术、生产环境的消毒灭菌技术、食品的微生物卫生指标检测技术，培养学生无菌操作的意识和技能，培养学生客观、严谨的工作作风，使学生达到企业和检验部门的微生物检验岗位的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3</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食品仪器分析技术</w:t>
            </w:r>
          </w:p>
        </w:tc>
        <w:tc>
          <w:tcPr>
            <w:tcW w:w="7801" w:type="dxa"/>
            <w:shd w:val="clear" w:color="auto" w:fill="auto"/>
            <w:vAlign w:val="center"/>
          </w:tcPr>
          <w:p>
            <w:pPr>
              <w:overflowPunct w:val="0"/>
              <w:adjustRightInd w:val="0"/>
              <w:spacing w:before="156" w:beforeLines="50"/>
              <w:ind w:firstLine="420" w:firstLineChars="200"/>
              <w:rPr>
                <w:rFonts w:ascii="Times New Roman" w:hAnsi="Times New Roman"/>
                <w:szCs w:val="21"/>
              </w:rPr>
            </w:pPr>
            <w:r>
              <w:rPr>
                <w:rFonts w:ascii="Times New Roman" w:hAnsi="Times New Roman"/>
                <w:szCs w:val="21"/>
              </w:rPr>
              <w:t>《食品仪器分析技术》课程教学内容主要包括应用仪器分析技术（电位分析法、紫外可见分光光度法、原子吸收分光光度法、气相/液相色谱法等）对食品（农产品）样品中的质量安全指标进行检测分析，主要包括重金属含量检测、农药残留检测、添加剂含量检测与兽药残留检测。</w:t>
            </w:r>
          </w:p>
          <w:p>
            <w:pPr>
              <w:overflowPunct w:val="0"/>
              <w:adjustRightInd w:val="0"/>
              <w:spacing w:after="156" w:afterLines="50"/>
              <w:ind w:firstLine="420" w:firstLineChars="200"/>
              <w:rPr>
                <w:rFonts w:ascii="Times New Roman" w:hAnsi="Times New Roman"/>
                <w:szCs w:val="21"/>
              </w:rPr>
            </w:pPr>
            <w:r>
              <w:rPr>
                <w:rFonts w:ascii="Times New Roman" w:hAnsi="Times New Roman"/>
                <w:szCs w:val="21"/>
              </w:rPr>
              <w:t>通过本课程的学习，使学生掌握仪器分析的理论知识和基本操作技能，锻炼学生的动手能力，培养学生事实就是的科学作风和独立从事实践工作的能力。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blHeader/>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801"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4</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食品感官检测技术</w:t>
            </w:r>
          </w:p>
        </w:tc>
        <w:tc>
          <w:tcPr>
            <w:tcW w:w="7801" w:type="dxa"/>
            <w:shd w:val="clear" w:color="auto" w:fill="auto"/>
            <w:vAlign w:val="center"/>
          </w:tcPr>
          <w:p>
            <w:pPr>
              <w:overflowPunct w:val="0"/>
              <w:adjustRightInd w:val="0"/>
              <w:spacing w:before="156" w:beforeLines="50"/>
              <w:ind w:firstLine="420" w:firstLineChars="200"/>
              <w:rPr>
                <w:rFonts w:ascii="Times New Roman" w:hAnsi="Times New Roman"/>
                <w:szCs w:val="21"/>
              </w:rPr>
            </w:pPr>
            <w:r>
              <w:rPr>
                <w:rFonts w:ascii="Times New Roman" w:hAnsi="Times New Roman"/>
                <w:szCs w:val="21"/>
              </w:rPr>
              <w:t>《食品感官检测技术》课程主要涉及的内容有食品的感官评价方法、食品感官检验常用的方法及感官检验的应用。</w:t>
            </w:r>
          </w:p>
          <w:p>
            <w:pPr>
              <w:overflowPunct w:val="0"/>
              <w:adjustRightInd w:val="0"/>
              <w:spacing w:after="156" w:afterLines="50"/>
              <w:ind w:firstLine="420" w:firstLineChars="200"/>
              <w:rPr>
                <w:rFonts w:ascii="Times New Roman" w:hAnsi="Times New Roman"/>
                <w:szCs w:val="21"/>
              </w:rPr>
            </w:pPr>
            <w:r>
              <w:rPr>
                <w:rFonts w:ascii="Times New Roman" w:hAnsi="Times New Roman"/>
                <w:szCs w:val="21"/>
              </w:rPr>
              <w:t>通过本课程的学习与实训，使学生对感官检验有一个较全面的了解，逐步掌握食品感官评价的基本方法和基本技能，学会鉴别并评价食品的品质，同时培养学生实事求是、客观严谨等职业素质。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5</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食品加工技术</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《食品加工技术》课程是食品质量与安全专业的一门专业必修课程。其内容主要涉及肉制品、软饮料、乳制品等的加工工艺。</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通过本课程的学习，使学生全面掌握食品加工技术基本技能，培养学生在实践中综合运用所学知识发现问题、分析问题和解决问题的综合能力及素质，为学生今后就业奠定基础。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9"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6</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食品安全与质量管理</w:t>
            </w:r>
          </w:p>
        </w:tc>
        <w:tc>
          <w:tcPr>
            <w:tcW w:w="7801" w:type="dxa"/>
            <w:shd w:val="clear" w:color="auto" w:fill="auto"/>
            <w:vAlign w:val="center"/>
          </w:tcPr>
          <w:p>
            <w:pPr>
              <w:overflowPunct w:val="0"/>
              <w:adjustRightInd w:val="0"/>
              <w:spacing w:before="156" w:beforeLines="50"/>
              <w:ind w:firstLine="420" w:firstLineChars="200"/>
              <w:rPr>
                <w:rFonts w:ascii="Times New Roman" w:hAnsi="Times New Roman"/>
                <w:szCs w:val="21"/>
              </w:rPr>
            </w:pPr>
            <w:r>
              <w:rPr>
                <w:rFonts w:ascii="Times New Roman" w:hAnsi="Times New Roman"/>
                <w:szCs w:val="21"/>
              </w:rPr>
              <w:t>《食品安全与质量管理》课程主要内容包括：食品法规与标准、质量管理基础与质量管理体系、食品安全控制与管理等模块。</w:t>
            </w:r>
          </w:p>
          <w:p>
            <w:pPr>
              <w:overflowPunct w:val="0"/>
              <w:adjustRightInd w:val="0"/>
              <w:spacing w:after="156" w:afterLines="50"/>
              <w:ind w:firstLine="420" w:firstLineChars="200"/>
              <w:rPr>
                <w:rFonts w:ascii="Times New Roman" w:hAnsi="Times New Roman"/>
                <w:szCs w:val="21"/>
              </w:rPr>
            </w:pPr>
            <w:r>
              <w:rPr>
                <w:rFonts w:ascii="Times New Roman" w:hAnsi="Times New Roman"/>
                <w:szCs w:val="21"/>
              </w:rPr>
              <w:t>通过本课程的学习，使学生了解食品质量管理的发展历程，食品设计、加工、贮藏和销售全过程的质量管理方法；深入理解食品质量控制的方法，食品质量管理的基本概念、理论；培养学生食品质量、安全保证体系的应用，学会针对不同食品加工企业进行质量保证体系方案的制订和实施，以适应日益严格的安全食品生产、质量检验、控制及评价工作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7</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食品标准与法规</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《食品标准与法规》课程涉及的主要内容有食品安全与食品标准法规、标准与法规基础知识、我国食品标准体系、国际食品标准与法规、我国食品安全法律法规等。</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使学生正确理解食品标准与法规的概念、定义、范围；了解标准与法规间的关系以及与质量管理体系等的关系；掌握我国与国际现有的主要有关食品质量与安全方面的法律法规，掌握标注与法规的作用与意义；使学生能把握当今食品标准与法规的发展动态，并能理论联系实际，提高在食品生产实践过程中分析和解决问题的能力。</w:t>
            </w:r>
          </w:p>
        </w:tc>
      </w:tr>
    </w:tbl>
    <w:p>
      <w:pPr>
        <w:overflowPunct w:val="0"/>
        <w:adjustRightInd w:val="0"/>
        <w:ind w:firstLine="480" w:firstLineChars="200"/>
        <w:rPr>
          <w:rFonts w:ascii="Times New Roman" w:hAnsi="Times New Roman"/>
          <w:sz w:val="24"/>
          <w:szCs w:val="24"/>
        </w:rPr>
      </w:pPr>
      <w:r>
        <w:rPr>
          <w:rFonts w:ascii="Times New Roman" w:hAnsi="Times New Roman"/>
          <w:sz w:val="24"/>
          <w:szCs w:val="24"/>
        </w:rPr>
        <w:t>3．专业技能方向课程</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专业技能方向课程教学内容与要求见表五。</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表五    主要专业技能方向课程教学内容及要求</w:t>
      </w:r>
    </w:p>
    <w:tbl>
      <w:tblPr>
        <w:tblStyle w:val="8"/>
        <w:tblW w:w="96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801"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食品企业管理</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《食品企业管理》课程主要内容包括食品工业企业管理概论、食品企业经营战略、生产管理、技术管理、设备管理、质量管理、卫生管理、物资管理、经营管理、电子计算机在食品工业企业中的应用等。</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通过本课程的学习，使学生初步掌握有关食品工业企业管理的知识和技能，为成为现代企业的技术、管理人才打下必要的基础。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blHeader/>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801"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食品工厂设计</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工厂设计》课程是以围绕工艺设计为主要内容的多学科的综合性课程。本课程从食品工厂规划与设计最基本的建设程序入手，向学生讲述基本建设程序的内容、方法及步骤；再到工厂平面规划与设计的内容、方法及原则。</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通过本课程的学习，使学生掌握食品工厂规划与设计的基本理论知识和技能，以及分析问题、解决问题的基本方法。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3</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功能食品加工技术</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功能食品加工技术》主要阐述食品功能性因子的开发及其功能性食品额生产。通过本课程的学习，使学生了解功能性食品的基本概念和基础知识；正确理解功能性因子的相关性质及其在食品中的提取方法；掌握功能食品的一般性加工方法。</w:t>
            </w:r>
          </w:p>
        </w:tc>
      </w:tr>
    </w:tbl>
    <w:p>
      <w:pPr>
        <w:overflowPunct w:val="0"/>
        <w:adjustRightInd w:val="0"/>
        <w:ind w:firstLine="480" w:firstLineChars="200"/>
        <w:rPr>
          <w:rFonts w:ascii="Times New Roman" w:hAnsi="Times New Roman"/>
          <w:sz w:val="24"/>
          <w:szCs w:val="24"/>
        </w:rPr>
      </w:pPr>
      <w:r>
        <w:rPr>
          <w:rFonts w:ascii="Times New Roman" w:hAnsi="Times New Roman"/>
          <w:sz w:val="24"/>
          <w:szCs w:val="24"/>
        </w:rPr>
        <w:t>4．实习实训课程</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实习实训课程教学内容与要求见表六。</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表六    实习实训课程教学内容及要求</w:t>
      </w:r>
    </w:p>
    <w:tbl>
      <w:tblPr>
        <w:tblStyle w:val="8"/>
        <w:tblW w:w="96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blHeader/>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801"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农产品食品检验员辅导及考证</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课程主要内容包括：标准溶液的配制，误差分析与数据处理，原子吸收分光光度分析，微生物检验知识，粮油及其制品的检验，糕点糖果的检验，乳及乳制品的检验。通过两周的专业技能训练，学生参加检验员职业技能鉴定，通过考核获得劳动和社会保障部职业技能鉴定中心颁发的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认识实习</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通过企业认知实习，可以增进学生对企业的感性认识，树立专业意识，为今后的学习打下坚实的基础，提高学生的综合素质和适应社会的能力；同时也可以让学生了解社会与企业对大学生的综合要求，便于在今后的学习过程中，调整自己的状态和学习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3</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跟岗实习</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通过跟岗实习，可以增进学生对企业的感性认识，树立专业意识，为今后的学习打下坚实的基础，提高学生的综合素质和适应社会的能力；同时也可以让学生了解社会与企业对大学生的综合要求，便于在今后的学习过程中，调整自己的状态和学习重点。实践中让学生在企业中进行果蔬饮料、肉制品、乳制品、焙烤食品、粮油食品、酒类等加工的生产实习及食品各营养成分的分析检测实习，在实习过程中加深对专业课程和理论知识的巩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4</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顶岗实习</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第五学期至第六学期安排6个月的顶岗实习，学生从事生产、管理、服务一线的顶岗工作，通过试剂工作掌握有关食品加工及食品检测的相关操作，在实践教师的指导下，完成预定的学习任务，同时培养学生综合素质、动手能力，缩短学生走上工作岗位的适应期，提高就业竞争能力，是产学合作教育的重要教学环节。通过学生在食品企业的顶岗实习，将所学的专业知识进行实践性融合，使学生对生产操作更加熟练，为学生今后的就业做好铺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5</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毕业设计（论文）</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毕业设计（论文）是教学过程的一个重要教学环节，其目的在于训练学生综合运用所学的基本理论、基本知识和基本技能，分析和解决实际工作问题的能力，使学生具有从事生产和科学研究的初步能力。教学要求：根据课题的性质和要求，写出毕业设计（论文）计划书，学生应当独立完成全部任务；设计方案应合理，理论分析和计算正确；论文的要求要明确突出，论据要充分，分析及论述要条理清楚；要注意体现技术上的实用性和先进性，经济上的合理性以及计算机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blHeader/>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801"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6</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专项技能训练</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专项技能训练是指在校内专业教师和校外实训指导教师的共同指导下，根据专业特点，学生在企业完成某一食品的生产操作训练。通过专项技能训练，进一步提升学生对某一种食品的加工操作技能，培养了学生发现问题、分析问题和解决问题的能力，同时增强了学生团队协作意识和安全生产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7</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专业综合技能实训</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专业综合技能实训是指在实训指导教师的指导下，学生在企业或者校内生产性实训基地以实习生的身份参与生产实践，包括岗前培训、跟班劳动、教师现场操作指导、实训总结等教学环节，一般安排在学生学完大多数专业课程之后进行。通过专业综合技能实训，使学生能够熟悉未来的工作环境和工作流程，了解企业文化、初步掌握本专业主要生产岗位的生产过程、生产设备及操作技能，熟悉生产过程的质量管理与质量控制等实践环节，学会运用所学知识解决实际问题，为今后的工作实践打下基础。</w:t>
            </w:r>
          </w:p>
        </w:tc>
      </w:tr>
    </w:tbl>
    <w:p>
      <w:pPr>
        <w:overflowPunct w:val="0"/>
        <w:adjustRightInd w:val="0"/>
        <w:spacing w:before="156" w:beforeLines="50"/>
        <w:ind w:firstLine="482" w:firstLineChars="200"/>
        <w:outlineLvl w:val="0"/>
        <w:rPr>
          <w:rFonts w:ascii="Times New Roman" w:hAnsi="Times New Roman"/>
          <w:b/>
          <w:bCs/>
          <w:sz w:val="24"/>
          <w:szCs w:val="24"/>
        </w:rPr>
      </w:pPr>
      <w:r>
        <w:rPr>
          <w:rFonts w:ascii="Times New Roman" w:hAnsi="Times New Roman"/>
          <w:b/>
          <w:bCs/>
          <w:sz w:val="24"/>
          <w:szCs w:val="24"/>
        </w:rPr>
        <w:t>七、教学进程总体安排</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全学期教学活动时间安排见表七。</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表七            教学活动时间分配表              单位：周</w:t>
      </w:r>
    </w:p>
    <w:tbl>
      <w:tblPr>
        <w:tblStyle w:val="8"/>
        <w:tblW w:w="897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24"/>
        <w:gridCol w:w="1006"/>
        <w:gridCol w:w="1007"/>
        <w:gridCol w:w="1007"/>
        <w:gridCol w:w="1007"/>
        <w:gridCol w:w="1007"/>
        <w:gridCol w:w="1007"/>
        <w:gridCol w:w="10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Merge w:val="restart"/>
            <w:tcBorders>
              <w:top w:val="single" w:color="auto" w:sz="8" w:space="0"/>
            </w:tcBorders>
            <w:vAlign w:val="center"/>
          </w:tcPr>
          <w:p>
            <w:pPr>
              <w:widowControl/>
              <w:spacing w:line="360" w:lineRule="auto"/>
              <w:jc w:val="center"/>
              <w:rPr>
                <w:rFonts w:ascii="Times New Roman" w:hAnsi="Times New Roman"/>
                <w:szCs w:val="21"/>
              </w:rPr>
            </w:pPr>
            <w:r>
              <w:rPr>
                <w:rFonts w:ascii="Times New Roman" w:hAnsi="Times New Roman"/>
                <w:szCs w:val="21"/>
              </w:rPr>
              <w:t>项    目</w:t>
            </w:r>
          </w:p>
        </w:tc>
        <w:tc>
          <w:tcPr>
            <w:tcW w:w="2013" w:type="dxa"/>
            <w:gridSpan w:val="2"/>
            <w:tcBorders>
              <w:top w:val="single" w:color="auto" w:sz="8" w:space="0"/>
            </w:tcBorders>
            <w:vAlign w:val="center"/>
          </w:tcPr>
          <w:p>
            <w:pPr>
              <w:keepNext/>
              <w:widowControl/>
              <w:spacing w:line="240" w:lineRule="atLeast"/>
              <w:jc w:val="center"/>
              <w:rPr>
                <w:rFonts w:ascii="Times New Roman" w:hAnsi="Times New Roman"/>
                <w:szCs w:val="21"/>
              </w:rPr>
            </w:pPr>
            <w:r>
              <w:rPr>
                <w:rFonts w:ascii="Times New Roman" w:hAnsi="Times New Roman"/>
                <w:szCs w:val="21"/>
              </w:rPr>
              <w:t>第一学年</w:t>
            </w:r>
          </w:p>
        </w:tc>
        <w:tc>
          <w:tcPr>
            <w:tcW w:w="2014" w:type="dxa"/>
            <w:gridSpan w:val="2"/>
            <w:tcBorders>
              <w:top w:val="single" w:color="auto" w:sz="8" w:space="0"/>
            </w:tcBorders>
            <w:vAlign w:val="center"/>
          </w:tcPr>
          <w:p>
            <w:pPr>
              <w:keepNext/>
              <w:widowControl/>
              <w:spacing w:line="240" w:lineRule="atLeast"/>
              <w:jc w:val="center"/>
              <w:rPr>
                <w:rFonts w:ascii="Times New Roman" w:hAnsi="Times New Roman"/>
                <w:szCs w:val="21"/>
              </w:rPr>
            </w:pPr>
            <w:r>
              <w:rPr>
                <w:rFonts w:ascii="Times New Roman" w:hAnsi="Times New Roman"/>
                <w:szCs w:val="21"/>
              </w:rPr>
              <w:t>第二学年</w:t>
            </w:r>
          </w:p>
        </w:tc>
        <w:tc>
          <w:tcPr>
            <w:tcW w:w="2014" w:type="dxa"/>
            <w:gridSpan w:val="2"/>
            <w:tcBorders>
              <w:top w:val="single" w:color="auto" w:sz="8" w:space="0"/>
            </w:tcBorders>
            <w:vAlign w:val="center"/>
          </w:tcPr>
          <w:p>
            <w:pPr>
              <w:keepNext/>
              <w:widowControl/>
              <w:spacing w:line="240" w:lineRule="atLeast"/>
              <w:jc w:val="center"/>
              <w:rPr>
                <w:rFonts w:ascii="Times New Roman" w:hAnsi="Times New Roman"/>
                <w:szCs w:val="21"/>
              </w:rPr>
            </w:pPr>
            <w:r>
              <w:rPr>
                <w:rFonts w:ascii="Times New Roman" w:hAnsi="Times New Roman"/>
                <w:szCs w:val="21"/>
              </w:rPr>
              <w:t>第三学年</w:t>
            </w:r>
          </w:p>
        </w:tc>
        <w:tc>
          <w:tcPr>
            <w:tcW w:w="1007" w:type="dxa"/>
            <w:vMerge w:val="restart"/>
            <w:tcBorders>
              <w:top w:val="single" w:color="auto" w:sz="8" w:space="0"/>
            </w:tcBorders>
            <w:vAlign w:val="center"/>
          </w:tcPr>
          <w:p>
            <w:pPr>
              <w:keepNext/>
              <w:spacing w:line="240" w:lineRule="atLeast"/>
              <w:jc w:val="center"/>
              <w:rPr>
                <w:rFonts w:ascii="Times New Roman" w:hAnsi="Times New Roman"/>
                <w:szCs w:val="21"/>
              </w:rPr>
            </w:pPr>
            <w:r>
              <w:rPr>
                <w:rFonts w:ascii="Times New Roman" w:hAnsi="Times New Roman"/>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Merge w:val="continue"/>
            <w:vAlign w:val="center"/>
          </w:tcPr>
          <w:p>
            <w:pPr>
              <w:keepNext/>
              <w:widowControl/>
              <w:spacing w:line="360" w:lineRule="auto"/>
              <w:jc w:val="center"/>
              <w:rPr>
                <w:rFonts w:ascii="Times New Roman" w:hAnsi="Times New Roman"/>
                <w:szCs w:val="21"/>
              </w:rPr>
            </w:pPr>
          </w:p>
        </w:tc>
        <w:tc>
          <w:tcPr>
            <w:tcW w:w="1006" w:type="dxa"/>
            <w:vAlign w:val="center"/>
          </w:tcPr>
          <w:p>
            <w:pPr>
              <w:keepNext/>
              <w:widowControl/>
              <w:spacing w:line="240" w:lineRule="atLeast"/>
              <w:jc w:val="center"/>
              <w:rPr>
                <w:rFonts w:ascii="Times New Roman" w:hAnsi="Times New Roman"/>
                <w:szCs w:val="21"/>
              </w:rPr>
            </w:pPr>
            <w:r>
              <w:rPr>
                <w:rFonts w:ascii="Times New Roman" w:hAnsi="Times New Roman"/>
                <w:szCs w:val="21"/>
              </w:rPr>
              <w:t>一</w:t>
            </w:r>
          </w:p>
        </w:tc>
        <w:tc>
          <w:tcPr>
            <w:tcW w:w="1007" w:type="dxa"/>
            <w:vAlign w:val="center"/>
          </w:tcPr>
          <w:p>
            <w:pPr>
              <w:keepNext/>
              <w:widowControl/>
              <w:spacing w:line="240" w:lineRule="atLeast"/>
              <w:ind w:left="35" w:leftChars="-28" w:hanging="94" w:hangingChars="45"/>
              <w:jc w:val="center"/>
              <w:rPr>
                <w:rFonts w:ascii="Times New Roman" w:hAnsi="Times New Roman"/>
                <w:szCs w:val="21"/>
              </w:rPr>
            </w:pPr>
            <w:r>
              <w:rPr>
                <w:rFonts w:ascii="Times New Roman" w:hAnsi="Times New Roman"/>
                <w:szCs w:val="21"/>
              </w:rPr>
              <w:t>二</w:t>
            </w:r>
          </w:p>
        </w:tc>
        <w:tc>
          <w:tcPr>
            <w:tcW w:w="1007" w:type="dxa"/>
            <w:vAlign w:val="center"/>
          </w:tcPr>
          <w:p>
            <w:pPr>
              <w:keepNext/>
              <w:widowControl/>
              <w:spacing w:line="240" w:lineRule="atLeast"/>
              <w:jc w:val="center"/>
              <w:rPr>
                <w:rFonts w:ascii="Times New Roman" w:hAnsi="Times New Roman"/>
                <w:szCs w:val="21"/>
              </w:rPr>
            </w:pPr>
            <w:r>
              <w:rPr>
                <w:rFonts w:ascii="Times New Roman" w:hAnsi="Times New Roman"/>
                <w:szCs w:val="21"/>
              </w:rPr>
              <w:t>三</w:t>
            </w:r>
          </w:p>
        </w:tc>
        <w:tc>
          <w:tcPr>
            <w:tcW w:w="1007" w:type="dxa"/>
            <w:vAlign w:val="center"/>
          </w:tcPr>
          <w:p>
            <w:pPr>
              <w:keepNext/>
              <w:widowControl/>
              <w:spacing w:line="240" w:lineRule="atLeast"/>
              <w:jc w:val="center"/>
              <w:rPr>
                <w:rFonts w:ascii="Times New Roman" w:hAnsi="Times New Roman"/>
                <w:szCs w:val="21"/>
              </w:rPr>
            </w:pPr>
            <w:r>
              <w:rPr>
                <w:rFonts w:ascii="Times New Roman" w:hAnsi="Times New Roman"/>
                <w:szCs w:val="21"/>
              </w:rPr>
              <w:t>四</w:t>
            </w:r>
          </w:p>
        </w:tc>
        <w:tc>
          <w:tcPr>
            <w:tcW w:w="1007" w:type="dxa"/>
            <w:vAlign w:val="center"/>
          </w:tcPr>
          <w:p>
            <w:pPr>
              <w:keepNext/>
              <w:widowControl/>
              <w:spacing w:line="240" w:lineRule="atLeast"/>
              <w:jc w:val="center"/>
              <w:rPr>
                <w:rFonts w:ascii="Times New Roman" w:hAnsi="Times New Roman"/>
                <w:szCs w:val="21"/>
              </w:rPr>
            </w:pPr>
            <w:r>
              <w:rPr>
                <w:rFonts w:ascii="Times New Roman" w:hAnsi="Times New Roman"/>
                <w:szCs w:val="21"/>
              </w:rPr>
              <w:t>五</w:t>
            </w:r>
          </w:p>
        </w:tc>
        <w:tc>
          <w:tcPr>
            <w:tcW w:w="1007" w:type="dxa"/>
            <w:vAlign w:val="center"/>
          </w:tcPr>
          <w:p>
            <w:pPr>
              <w:keepNext/>
              <w:widowControl/>
              <w:spacing w:line="240" w:lineRule="atLeast"/>
              <w:jc w:val="center"/>
              <w:rPr>
                <w:rFonts w:ascii="Times New Roman" w:hAnsi="Times New Roman"/>
                <w:szCs w:val="21"/>
              </w:rPr>
            </w:pPr>
            <w:r>
              <w:rPr>
                <w:rFonts w:ascii="Times New Roman" w:hAnsi="Times New Roman"/>
                <w:szCs w:val="21"/>
              </w:rPr>
              <w:t>六</w:t>
            </w:r>
          </w:p>
        </w:tc>
        <w:tc>
          <w:tcPr>
            <w:tcW w:w="1007" w:type="dxa"/>
            <w:vMerge w:val="continue"/>
            <w:vAlign w:val="center"/>
          </w:tcPr>
          <w:p>
            <w:pPr>
              <w:keepNext/>
              <w:widowControl/>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spacing w:line="240" w:lineRule="atLeast"/>
              <w:textAlignment w:val="center"/>
              <w:rPr>
                <w:rFonts w:ascii="Times New Roman" w:hAnsi="Times New Roman"/>
                <w:szCs w:val="21"/>
              </w:rPr>
            </w:pPr>
            <w:r>
              <w:rPr>
                <w:rFonts w:ascii="Times New Roman" w:hAnsi="Times New Roman"/>
                <w:szCs w:val="21"/>
              </w:rPr>
              <w:t>理论教学</w:t>
            </w:r>
          </w:p>
        </w:tc>
        <w:tc>
          <w:tcPr>
            <w:tcW w:w="1006" w:type="dxa"/>
            <w:vAlign w:val="center"/>
          </w:tcPr>
          <w:p>
            <w:pPr>
              <w:keepNext/>
              <w:widowControl/>
              <w:jc w:val="center"/>
              <w:rPr>
                <w:rFonts w:ascii="Times New Roman" w:hAnsi="Times New Roman"/>
                <w:szCs w:val="21"/>
              </w:rPr>
            </w:pPr>
            <w:r>
              <w:rPr>
                <w:rFonts w:ascii="Times New Roman" w:hAnsi="Times New Roman"/>
                <w:szCs w:val="21"/>
              </w:rPr>
              <w:t>11</w:t>
            </w:r>
          </w:p>
        </w:tc>
        <w:tc>
          <w:tcPr>
            <w:tcW w:w="1007" w:type="dxa"/>
            <w:vAlign w:val="center"/>
          </w:tcPr>
          <w:p>
            <w:pPr>
              <w:keepNext/>
              <w:widowControl/>
              <w:jc w:val="center"/>
              <w:rPr>
                <w:rFonts w:ascii="Times New Roman" w:hAnsi="Times New Roman"/>
                <w:szCs w:val="21"/>
              </w:rPr>
            </w:pPr>
            <w:r>
              <w:rPr>
                <w:rFonts w:ascii="Times New Roman" w:hAnsi="Times New Roman"/>
                <w:szCs w:val="21"/>
              </w:rPr>
              <w:t>12</w:t>
            </w:r>
          </w:p>
        </w:tc>
        <w:tc>
          <w:tcPr>
            <w:tcW w:w="1007" w:type="dxa"/>
            <w:vAlign w:val="center"/>
          </w:tcPr>
          <w:p>
            <w:pPr>
              <w:keepNext/>
              <w:widowControl/>
              <w:jc w:val="center"/>
              <w:rPr>
                <w:rFonts w:ascii="Times New Roman" w:hAnsi="Times New Roman"/>
                <w:szCs w:val="21"/>
              </w:rPr>
            </w:pPr>
            <w:r>
              <w:rPr>
                <w:rFonts w:ascii="Times New Roman" w:hAnsi="Times New Roman"/>
                <w:szCs w:val="21"/>
              </w:rPr>
              <w:t>10</w:t>
            </w:r>
          </w:p>
        </w:tc>
        <w:tc>
          <w:tcPr>
            <w:tcW w:w="1007" w:type="dxa"/>
            <w:vAlign w:val="center"/>
          </w:tcPr>
          <w:p>
            <w:pPr>
              <w:keepNext/>
              <w:widowControl/>
              <w:jc w:val="center"/>
              <w:rPr>
                <w:rFonts w:ascii="Times New Roman" w:hAnsi="Times New Roman"/>
                <w:szCs w:val="21"/>
              </w:rPr>
            </w:pPr>
            <w:r>
              <w:rPr>
                <w:rFonts w:ascii="Times New Roman" w:hAnsi="Times New Roman"/>
                <w:szCs w:val="21"/>
              </w:rPr>
              <w:t>12</w:t>
            </w: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r>
              <w:rPr>
                <w:rFonts w:ascii="Times New Roman" w:hAnsi="Times New Roman"/>
                <w:szCs w:val="21"/>
              </w:rPr>
              <w:t>45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spacing w:line="240" w:lineRule="atLeast"/>
              <w:rPr>
                <w:rFonts w:ascii="Times New Roman" w:hAnsi="Times New Roman"/>
                <w:szCs w:val="21"/>
              </w:rPr>
            </w:pPr>
            <w:r>
              <w:rPr>
                <w:rFonts w:ascii="Times New Roman" w:hAnsi="Times New Roman"/>
                <w:szCs w:val="21"/>
              </w:rPr>
              <w:t>实践教学</w:t>
            </w:r>
          </w:p>
        </w:tc>
        <w:tc>
          <w:tcPr>
            <w:tcW w:w="1006" w:type="dxa"/>
            <w:vAlign w:val="center"/>
          </w:tcPr>
          <w:p>
            <w:pPr>
              <w:keepNext/>
              <w:widowControl/>
              <w:jc w:val="center"/>
              <w:rPr>
                <w:rFonts w:ascii="Times New Roman" w:hAnsi="Times New Roman"/>
                <w:szCs w:val="21"/>
              </w:rPr>
            </w:pPr>
            <w:r>
              <w:rPr>
                <w:rFonts w:hint="eastAsia" w:ascii="Times New Roman" w:hAnsi="Times New Roman"/>
                <w:szCs w:val="21"/>
              </w:rPr>
              <w:t>5</w:t>
            </w:r>
          </w:p>
        </w:tc>
        <w:tc>
          <w:tcPr>
            <w:tcW w:w="1007" w:type="dxa"/>
            <w:vAlign w:val="center"/>
          </w:tcPr>
          <w:p>
            <w:pPr>
              <w:keepNext/>
              <w:widowControl/>
              <w:jc w:val="center"/>
              <w:rPr>
                <w:rFonts w:ascii="Times New Roman" w:hAnsi="Times New Roman"/>
                <w:szCs w:val="21"/>
              </w:rPr>
            </w:pPr>
            <w:r>
              <w:rPr>
                <w:rFonts w:ascii="Times New Roman" w:hAnsi="Times New Roman"/>
                <w:szCs w:val="21"/>
              </w:rPr>
              <w:t>10</w:t>
            </w:r>
          </w:p>
        </w:tc>
        <w:tc>
          <w:tcPr>
            <w:tcW w:w="1007" w:type="dxa"/>
            <w:vAlign w:val="center"/>
          </w:tcPr>
          <w:p>
            <w:pPr>
              <w:keepNext/>
              <w:widowControl/>
              <w:jc w:val="center"/>
              <w:rPr>
                <w:rFonts w:ascii="Times New Roman" w:hAnsi="Times New Roman"/>
                <w:szCs w:val="21"/>
              </w:rPr>
            </w:pPr>
            <w:r>
              <w:rPr>
                <w:rFonts w:ascii="Times New Roman" w:hAnsi="Times New Roman"/>
                <w:szCs w:val="21"/>
              </w:rPr>
              <w:t>8</w:t>
            </w:r>
          </w:p>
        </w:tc>
        <w:tc>
          <w:tcPr>
            <w:tcW w:w="1007" w:type="dxa"/>
            <w:vAlign w:val="center"/>
          </w:tcPr>
          <w:p>
            <w:pPr>
              <w:keepNext/>
              <w:widowControl/>
              <w:jc w:val="center"/>
              <w:rPr>
                <w:rFonts w:ascii="Times New Roman" w:hAnsi="Times New Roman"/>
                <w:szCs w:val="21"/>
              </w:rPr>
            </w:pPr>
            <w:r>
              <w:rPr>
                <w:rFonts w:ascii="Times New Roman" w:hAnsi="Times New Roman"/>
                <w:szCs w:val="21"/>
              </w:rPr>
              <w:t>6</w:t>
            </w:r>
          </w:p>
        </w:tc>
        <w:tc>
          <w:tcPr>
            <w:tcW w:w="1007" w:type="dxa"/>
            <w:vAlign w:val="center"/>
          </w:tcPr>
          <w:p>
            <w:pPr>
              <w:keepNext/>
              <w:widowControl/>
              <w:jc w:val="center"/>
              <w:rPr>
                <w:rFonts w:ascii="Times New Roman" w:hAnsi="Times New Roman"/>
                <w:szCs w:val="21"/>
              </w:rPr>
            </w:pPr>
            <w:r>
              <w:rPr>
                <w:rFonts w:ascii="Times New Roman" w:hAnsi="Times New Roman"/>
                <w:szCs w:val="21"/>
              </w:rPr>
              <w:t>18</w:t>
            </w:r>
          </w:p>
        </w:tc>
        <w:tc>
          <w:tcPr>
            <w:tcW w:w="1007" w:type="dxa"/>
            <w:vAlign w:val="center"/>
          </w:tcPr>
          <w:p>
            <w:pPr>
              <w:keepNext/>
              <w:widowControl/>
              <w:jc w:val="center"/>
              <w:rPr>
                <w:rFonts w:ascii="Times New Roman" w:hAnsi="Times New Roman"/>
                <w:szCs w:val="21"/>
              </w:rPr>
            </w:pPr>
            <w:r>
              <w:rPr>
                <w:rFonts w:ascii="Times New Roman" w:hAnsi="Times New Roman"/>
                <w:szCs w:val="21"/>
              </w:rPr>
              <w:t>18</w:t>
            </w:r>
          </w:p>
        </w:tc>
        <w:tc>
          <w:tcPr>
            <w:tcW w:w="1007" w:type="dxa"/>
            <w:vAlign w:val="center"/>
          </w:tcPr>
          <w:p>
            <w:pPr>
              <w:keepNext/>
              <w:widowControl/>
              <w:jc w:val="center"/>
              <w:rPr>
                <w:rFonts w:ascii="Times New Roman" w:hAnsi="Times New Roman"/>
                <w:szCs w:val="21"/>
              </w:rPr>
            </w:pPr>
            <w:r>
              <w:rPr>
                <w:rFonts w:ascii="Times New Roman" w:hAnsi="Times New Roman"/>
                <w:szCs w:val="21"/>
              </w:rPr>
              <w:t>65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spacing w:line="240" w:lineRule="atLeast"/>
              <w:rPr>
                <w:rFonts w:ascii="Times New Roman" w:hAnsi="Times New Roman"/>
                <w:szCs w:val="21"/>
              </w:rPr>
            </w:pPr>
            <w:r>
              <w:rPr>
                <w:rFonts w:ascii="Times New Roman" w:hAnsi="Times New Roman"/>
                <w:szCs w:val="21"/>
              </w:rPr>
              <w:t>复习及考试</w:t>
            </w:r>
          </w:p>
        </w:tc>
        <w:tc>
          <w:tcPr>
            <w:tcW w:w="1006"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r>
              <w:rPr>
                <w:rFonts w:ascii="Times New Roman" w:hAnsi="Times New Roman"/>
                <w:szCs w:val="21"/>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spacing w:line="240" w:lineRule="atLeast"/>
              <w:rPr>
                <w:rFonts w:ascii="Times New Roman" w:hAnsi="Times New Roman"/>
                <w:szCs w:val="21"/>
              </w:rPr>
            </w:pPr>
            <w:r>
              <w:rPr>
                <w:rFonts w:ascii="Times New Roman" w:hAnsi="Times New Roman"/>
                <w:szCs w:val="21"/>
              </w:rPr>
              <w:t>假期</w:t>
            </w:r>
          </w:p>
        </w:tc>
        <w:tc>
          <w:tcPr>
            <w:tcW w:w="1006" w:type="dxa"/>
            <w:vAlign w:val="center"/>
          </w:tcPr>
          <w:p>
            <w:pPr>
              <w:keepNext/>
              <w:widowControl/>
              <w:jc w:val="center"/>
              <w:rPr>
                <w:rFonts w:ascii="Times New Roman" w:hAnsi="Times New Roman"/>
                <w:szCs w:val="21"/>
              </w:rPr>
            </w:pPr>
            <w:r>
              <w:rPr>
                <w:rFonts w:ascii="Times New Roman" w:hAnsi="Times New Roman"/>
                <w:szCs w:val="21"/>
              </w:rPr>
              <w:t>5</w:t>
            </w:r>
          </w:p>
        </w:tc>
        <w:tc>
          <w:tcPr>
            <w:tcW w:w="1007" w:type="dxa"/>
            <w:vAlign w:val="center"/>
          </w:tcPr>
          <w:p>
            <w:pPr>
              <w:keepNext/>
              <w:widowControl/>
              <w:jc w:val="center"/>
              <w:rPr>
                <w:rFonts w:ascii="Times New Roman" w:hAnsi="Times New Roman"/>
                <w:szCs w:val="21"/>
              </w:rPr>
            </w:pPr>
            <w:r>
              <w:rPr>
                <w:rFonts w:ascii="Times New Roman" w:hAnsi="Times New Roman"/>
                <w:szCs w:val="21"/>
              </w:rPr>
              <w:t>2</w:t>
            </w:r>
          </w:p>
        </w:tc>
        <w:tc>
          <w:tcPr>
            <w:tcW w:w="1007" w:type="dxa"/>
            <w:vAlign w:val="center"/>
          </w:tcPr>
          <w:p>
            <w:pPr>
              <w:keepNext/>
              <w:widowControl/>
              <w:jc w:val="center"/>
              <w:rPr>
                <w:rFonts w:ascii="Times New Roman" w:hAnsi="Times New Roman"/>
                <w:szCs w:val="21"/>
              </w:rPr>
            </w:pPr>
            <w:r>
              <w:rPr>
                <w:rFonts w:ascii="Times New Roman" w:hAnsi="Times New Roman"/>
                <w:szCs w:val="21"/>
              </w:rPr>
              <w:t>5</w:t>
            </w:r>
          </w:p>
        </w:tc>
        <w:tc>
          <w:tcPr>
            <w:tcW w:w="1007" w:type="dxa"/>
            <w:vAlign w:val="center"/>
          </w:tcPr>
          <w:p>
            <w:pPr>
              <w:keepNext/>
              <w:widowControl/>
              <w:jc w:val="center"/>
              <w:rPr>
                <w:rFonts w:ascii="Times New Roman" w:hAnsi="Times New Roman"/>
                <w:szCs w:val="21"/>
              </w:rPr>
            </w:pPr>
            <w:r>
              <w:rPr>
                <w:rFonts w:ascii="Times New Roman" w:hAnsi="Times New Roman"/>
                <w:szCs w:val="21"/>
              </w:rPr>
              <w:t>6</w:t>
            </w:r>
          </w:p>
        </w:tc>
        <w:tc>
          <w:tcPr>
            <w:tcW w:w="1007" w:type="dxa"/>
            <w:vAlign w:val="center"/>
          </w:tcPr>
          <w:p>
            <w:pPr>
              <w:keepNext/>
              <w:widowControl/>
              <w:jc w:val="center"/>
              <w:rPr>
                <w:rFonts w:ascii="Times New Roman" w:hAnsi="Times New Roman"/>
                <w:szCs w:val="21"/>
              </w:rPr>
            </w:pPr>
            <w:r>
              <w:rPr>
                <w:rFonts w:ascii="Times New Roman" w:hAnsi="Times New Roman"/>
                <w:szCs w:val="21"/>
              </w:rPr>
              <w:t>5</w:t>
            </w: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r>
              <w:rPr>
                <w:rFonts w:ascii="Times New Roman" w:hAnsi="Times New Roman"/>
                <w:szCs w:val="21"/>
              </w:rPr>
              <w:t>23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spacing w:line="240" w:lineRule="atLeast"/>
              <w:rPr>
                <w:rFonts w:ascii="Times New Roman" w:hAnsi="Times New Roman"/>
                <w:szCs w:val="21"/>
              </w:rPr>
            </w:pPr>
            <w:r>
              <w:rPr>
                <w:rFonts w:ascii="Times New Roman" w:hAnsi="Times New Roman"/>
                <w:szCs w:val="21"/>
              </w:rPr>
              <w:t>机动</w:t>
            </w:r>
          </w:p>
        </w:tc>
        <w:tc>
          <w:tcPr>
            <w:tcW w:w="1006"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2</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2</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spacing w:line="240" w:lineRule="atLeast"/>
              <w:rPr>
                <w:rFonts w:ascii="Times New Roman" w:hAnsi="Times New Roman"/>
                <w:szCs w:val="21"/>
              </w:rPr>
            </w:pPr>
            <w:r>
              <w:rPr>
                <w:rFonts w:ascii="Times New Roman" w:hAnsi="Times New Roman"/>
                <w:szCs w:val="21"/>
              </w:rPr>
              <w:t>入学教育及军训</w:t>
            </w:r>
          </w:p>
        </w:tc>
        <w:tc>
          <w:tcPr>
            <w:tcW w:w="1006" w:type="dxa"/>
            <w:vAlign w:val="center"/>
          </w:tcPr>
          <w:p>
            <w:pPr>
              <w:keepNext/>
              <w:widowControl/>
              <w:jc w:val="center"/>
              <w:rPr>
                <w:rFonts w:ascii="Times New Roman" w:hAnsi="Times New Roman"/>
                <w:szCs w:val="21"/>
              </w:rPr>
            </w:pPr>
            <w:r>
              <w:rPr>
                <w:rFonts w:ascii="Times New Roman" w:hAnsi="Times New Roman"/>
                <w:szCs w:val="21"/>
              </w:rPr>
              <w:t>2</w:t>
            </w: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r>
              <w:rPr>
                <w:rFonts w:ascii="Times New Roman" w:hAnsi="Times New Roman"/>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spacing w:line="240" w:lineRule="atLeast"/>
              <w:rPr>
                <w:rFonts w:ascii="Times New Roman" w:hAnsi="Times New Roman"/>
                <w:szCs w:val="21"/>
              </w:rPr>
            </w:pPr>
            <w:r>
              <w:rPr>
                <w:rFonts w:ascii="Times New Roman" w:hAnsi="Times New Roman"/>
                <w:szCs w:val="21"/>
              </w:rPr>
              <w:t>毕业教育</w:t>
            </w:r>
          </w:p>
        </w:tc>
        <w:tc>
          <w:tcPr>
            <w:tcW w:w="1006"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tcBorders>
              <w:bottom w:val="single" w:color="auto" w:sz="8" w:space="0"/>
            </w:tcBorders>
            <w:vAlign w:val="center"/>
          </w:tcPr>
          <w:p>
            <w:pPr>
              <w:widowControl/>
              <w:spacing w:line="240" w:lineRule="atLeast"/>
              <w:rPr>
                <w:rFonts w:ascii="Times New Roman" w:hAnsi="Times New Roman"/>
                <w:szCs w:val="21"/>
              </w:rPr>
            </w:pPr>
            <w:r>
              <w:rPr>
                <w:rFonts w:ascii="Times New Roman" w:hAnsi="Times New Roman"/>
                <w:szCs w:val="21"/>
              </w:rPr>
              <w:t>合计</w:t>
            </w:r>
          </w:p>
        </w:tc>
        <w:tc>
          <w:tcPr>
            <w:tcW w:w="2013" w:type="dxa"/>
            <w:gridSpan w:val="2"/>
            <w:tcBorders>
              <w:bottom w:val="single" w:color="auto" w:sz="8" w:space="0"/>
            </w:tcBorders>
            <w:vAlign w:val="center"/>
          </w:tcPr>
          <w:p>
            <w:pPr>
              <w:widowControl/>
              <w:jc w:val="center"/>
              <w:rPr>
                <w:rFonts w:ascii="Times New Roman" w:hAnsi="Times New Roman"/>
                <w:szCs w:val="21"/>
              </w:rPr>
            </w:pPr>
            <w:r>
              <w:rPr>
                <w:rFonts w:ascii="Times New Roman" w:hAnsi="Times New Roman"/>
                <w:szCs w:val="21"/>
              </w:rPr>
              <w:t>52</w:t>
            </w:r>
          </w:p>
        </w:tc>
        <w:tc>
          <w:tcPr>
            <w:tcW w:w="2014" w:type="dxa"/>
            <w:gridSpan w:val="2"/>
            <w:tcBorders>
              <w:bottom w:val="single" w:color="auto" w:sz="8" w:space="0"/>
            </w:tcBorders>
            <w:vAlign w:val="center"/>
          </w:tcPr>
          <w:p>
            <w:pPr>
              <w:widowControl/>
              <w:jc w:val="center"/>
              <w:rPr>
                <w:rFonts w:ascii="Times New Roman" w:hAnsi="Times New Roman"/>
                <w:szCs w:val="21"/>
              </w:rPr>
            </w:pPr>
            <w:r>
              <w:rPr>
                <w:rFonts w:ascii="Times New Roman" w:hAnsi="Times New Roman"/>
                <w:szCs w:val="21"/>
              </w:rPr>
              <w:t>52</w:t>
            </w:r>
          </w:p>
        </w:tc>
        <w:tc>
          <w:tcPr>
            <w:tcW w:w="2014" w:type="dxa"/>
            <w:gridSpan w:val="2"/>
            <w:tcBorders>
              <w:bottom w:val="single" w:color="auto" w:sz="8" w:space="0"/>
            </w:tcBorders>
            <w:vAlign w:val="center"/>
          </w:tcPr>
          <w:p>
            <w:pPr>
              <w:widowControl/>
              <w:jc w:val="center"/>
              <w:rPr>
                <w:rFonts w:ascii="Times New Roman" w:hAnsi="Times New Roman"/>
                <w:szCs w:val="21"/>
              </w:rPr>
            </w:pPr>
            <w:r>
              <w:rPr>
                <w:rFonts w:ascii="Times New Roman" w:hAnsi="Times New Roman"/>
                <w:szCs w:val="21"/>
              </w:rPr>
              <w:t>44</w:t>
            </w:r>
          </w:p>
        </w:tc>
        <w:tc>
          <w:tcPr>
            <w:tcW w:w="1007" w:type="dxa"/>
            <w:tcBorders>
              <w:bottom w:val="single" w:color="auto" w:sz="8" w:space="0"/>
            </w:tcBorders>
            <w:vAlign w:val="center"/>
          </w:tcPr>
          <w:p>
            <w:pPr>
              <w:widowControl/>
              <w:jc w:val="center"/>
              <w:rPr>
                <w:rFonts w:ascii="Times New Roman" w:hAnsi="Times New Roman"/>
                <w:szCs w:val="21"/>
              </w:rPr>
            </w:pPr>
            <w:r>
              <w:rPr>
                <w:rFonts w:ascii="Times New Roman" w:hAnsi="Times New Roman"/>
                <w:szCs w:val="21"/>
              </w:rPr>
              <w:t>148</w:t>
            </w:r>
          </w:p>
        </w:tc>
      </w:tr>
    </w:tbl>
    <w:p>
      <w:pPr>
        <w:overflowPunct w:val="0"/>
        <w:adjustRightInd w:val="0"/>
        <w:ind w:firstLine="480" w:firstLineChars="200"/>
        <w:rPr>
          <w:rFonts w:ascii="Times New Roman" w:hAnsi="Times New Roman"/>
          <w:sz w:val="24"/>
          <w:szCs w:val="24"/>
        </w:rPr>
      </w:pPr>
      <w:r>
        <w:rPr>
          <w:rFonts w:ascii="Times New Roman" w:hAnsi="Times New Roman"/>
          <w:sz w:val="24"/>
          <w:szCs w:val="24"/>
        </w:rPr>
        <w:t>食品质量与安全专业教学进程见表八（后附）。</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八、实施保障</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主要包括师资队伍、教学设施、教学资源、教学方法、学习评价、质量管理等方面。</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（一）师资队伍</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1．队伍结构</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现有专任教师10人，学生数与本专业专任教师数比例不高于25:1。其中副教授5名，高级技术职务的教师占专业课教师的50%；具有硕士学位的教师7人，占专业课教师的70%；“双师”素质教师比例达到90%。食品专业教师队伍是一支合理的梯队结构。</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2．专任教师</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专任教师均具有高校教师资格和本专业领域有关证书和本专业职业资格或技能等级证书；有理想信念、有道德情操、有扎实知识、有仁爱之心；具有食品相关专业本科及以上学历；具有扎实的食品质量管理相关理论功底和实践能力；具有较强信息化教学能力，能够开展课程教学改革和科学研究；5 年累计达到6 个月的企业实践经历。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3．专业带头人</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现有校内专业带头人1名，副高职称，校外专业带头人1名。两位专业带头人均能够较好地把握国内外食品加工行业、专业发展，能广泛联系行业企业，了解行业企业对食品质量安全管理专业人才的需求实际，教学设计、专业研究能力强，组织开展教科研工作能力强，在本区域或本领域具有一定的专业影响力。</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4．兼职教师</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聘请食品行业企业的技术专家6名参与专业建设与课程改革。聘请具有中级专业技术职称和实践经验丰富的企业兼职教师，担任或参与对职业技能要求较高的实践课程教学工作以及顶岗实习。聘请的兼职教师均具备良好的思想政治素质、职业道德和工匠精神，具有扎实的食品质量管理专业知识和丰富的实际工作经验。</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（二）教学设施</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1．专业教室基本条件</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本专业教室均配备有黑板、多媒体计算机、投影设备、音响设备，互联网接入或WiFi 环境，并具有网络安全防护措施。安装应急照明装置并保持良好状态，符合紧急疏散要求、标志明显、保持逃生通道畅通无阻。</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2．校内实训室基本要求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本专业校内设置有基础（分析）化学实验室、</w:t>
      </w:r>
      <w:bookmarkStart w:id="2" w:name="_Hlk16091900"/>
      <w:r>
        <w:rPr>
          <w:rFonts w:ascii="Times New Roman" w:hAnsi="Times New Roman"/>
          <w:sz w:val="24"/>
          <w:szCs w:val="24"/>
        </w:rPr>
        <w:t>食品理化检测实训室</w:t>
      </w:r>
      <w:bookmarkEnd w:id="2"/>
      <w:r>
        <w:rPr>
          <w:rFonts w:ascii="Times New Roman" w:hAnsi="Times New Roman"/>
          <w:sz w:val="24"/>
          <w:szCs w:val="24"/>
        </w:rPr>
        <w:t>、食品微生物检测实训室、食品加工实训室。</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各实验实训室仪器设备配置如表九表所示。</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表九    食品质量与安全实验实训室仪器设备配置附表</w:t>
      </w:r>
    </w:p>
    <w:tbl>
      <w:tblPr>
        <w:tblStyle w:val="8"/>
        <w:tblW w:w="89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
        <w:gridCol w:w="805"/>
        <w:gridCol w:w="59"/>
        <w:gridCol w:w="3341"/>
        <w:gridCol w:w="52"/>
        <w:gridCol w:w="2783"/>
        <w:gridCol w:w="59"/>
        <w:gridCol w:w="14"/>
        <w:gridCol w:w="1763"/>
        <w:gridCol w:w="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92" w:hRule="atLeast"/>
        </w:trPr>
        <w:tc>
          <w:tcPr>
            <w:tcW w:w="853"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名称</w:t>
            </w:r>
          </w:p>
        </w:tc>
        <w:tc>
          <w:tcPr>
            <w:tcW w:w="3400"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主要实训内容</w:t>
            </w:r>
          </w:p>
        </w:tc>
        <w:tc>
          <w:tcPr>
            <w:tcW w:w="2835"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主要设备名称</w:t>
            </w:r>
          </w:p>
        </w:tc>
        <w:tc>
          <w:tcPr>
            <w:tcW w:w="1836" w:type="dxa"/>
            <w:gridSpan w:val="3"/>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3" w:hRule="atLeast"/>
        </w:trPr>
        <w:tc>
          <w:tcPr>
            <w:tcW w:w="853" w:type="dxa"/>
            <w:gridSpan w:val="2"/>
            <w:vMerge w:val="restart"/>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基础（分析）化学实验室</w:t>
            </w:r>
          </w:p>
        </w:tc>
        <w:tc>
          <w:tcPr>
            <w:tcW w:w="3400" w:type="dxa"/>
            <w:gridSpan w:val="2"/>
            <w:vMerge w:val="restart"/>
            <w:shd w:val="clear" w:color="auto" w:fill="auto"/>
            <w:vAlign w:val="center"/>
          </w:tcPr>
          <w:p>
            <w:pPr>
              <w:overflowPunct w:val="0"/>
              <w:adjustRightInd w:val="0"/>
              <w:rPr>
                <w:rFonts w:ascii="Times New Roman" w:hAnsi="Times New Roman"/>
                <w:szCs w:val="21"/>
              </w:rPr>
            </w:pPr>
            <w:r>
              <w:rPr>
                <w:rFonts w:ascii="Times New Roman" w:hAnsi="Times New Roman"/>
                <w:szCs w:val="21"/>
              </w:rPr>
              <w:t>氢氧化钠标准溶液的配制与标定</w:t>
            </w:r>
          </w:p>
          <w:p>
            <w:pPr>
              <w:overflowPunct w:val="0"/>
              <w:adjustRightInd w:val="0"/>
              <w:rPr>
                <w:rFonts w:ascii="Times New Roman" w:hAnsi="Times New Roman"/>
                <w:szCs w:val="21"/>
              </w:rPr>
            </w:pPr>
            <w:r>
              <w:rPr>
                <w:rFonts w:ascii="Times New Roman" w:hAnsi="Times New Roman"/>
                <w:szCs w:val="21"/>
              </w:rPr>
              <w:t>盐酸标准溶液的配制与标定</w:t>
            </w:r>
          </w:p>
          <w:p>
            <w:pPr>
              <w:overflowPunct w:val="0"/>
              <w:adjustRightInd w:val="0"/>
              <w:rPr>
                <w:rFonts w:ascii="Times New Roman" w:hAnsi="Times New Roman"/>
                <w:szCs w:val="21"/>
              </w:rPr>
            </w:pPr>
            <w:r>
              <w:rPr>
                <w:rFonts w:ascii="Times New Roman" w:hAnsi="Times New Roman"/>
                <w:szCs w:val="21"/>
              </w:rPr>
              <w:t>混合碱分析</w:t>
            </w:r>
          </w:p>
          <w:p>
            <w:pPr>
              <w:overflowPunct w:val="0"/>
              <w:adjustRightInd w:val="0"/>
              <w:rPr>
                <w:rFonts w:ascii="Times New Roman" w:hAnsi="Times New Roman"/>
                <w:szCs w:val="21"/>
              </w:rPr>
            </w:pPr>
            <w:r>
              <w:rPr>
                <w:rFonts w:ascii="Times New Roman" w:hAnsi="Times New Roman"/>
                <w:szCs w:val="21"/>
              </w:rPr>
              <w:t>生理盐水中氯化钠含量的测定高锰酸钾标准溶液的配制与标定</w:t>
            </w:r>
          </w:p>
          <w:p>
            <w:pPr>
              <w:overflowPunct w:val="0"/>
              <w:adjustRightInd w:val="0"/>
              <w:rPr>
                <w:rFonts w:ascii="Times New Roman" w:hAnsi="Times New Roman"/>
                <w:szCs w:val="21"/>
              </w:rPr>
            </w:pPr>
            <w:r>
              <w:rPr>
                <w:rFonts w:ascii="Times New Roman" w:hAnsi="Times New Roman"/>
                <w:szCs w:val="21"/>
              </w:rPr>
              <w:t>水中总硬度的测定</w:t>
            </w:r>
          </w:p>
          <w:p>
            <w:pPr>
              <w:overflowPunct w:val="0"/>
              <w:adjustRightInd w:val="0"/>
              <w:rPr>
                <w:rFonts w:ascii="Times New Roman" w:hAnsi="Times New Roman"/>
                <w:szCs w:val="21"/>
              </w:rPr>
            </w:pPr>
            <w:r>
              <w:rPr>
                <w:rFonts w:ascii="Times New Roman" w:hAnsi="Times New Roman"/>
                <w:szCs w:val="21"/>
              </w:rPr>
              <w:t>邻二氮菲分光光度法测定铁含量</w:t>
            </w:r>
          </w:p>
        </w:tc>
        <w:tc>
          <w:tcPr>
            <w:tcW w:w="2835"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电子天平</w:t>
            </w:r>
          </w:p>
        </w:tc>
        <w:tc>
          <w:tcPr>
            <w:tcW w:w="1836" w:type="dxa"/>
            <w:gridSpan w:val="3"/>
            <w:shd w:val="clear" w:color="auto" w:fill="auto"/>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恒温水浴锅</w:t>
            </w:r>
          </w:p>
        </w:tc>
        <w:tc>
          <w:tcPr>
            <w:tcW w:w="1836" w:type="dxa"/>
            <w:gridSpan w:val="3"/>
            <w:shd w:val="clear" w:color="auto" w:fill="auto"/>
          </w:tcPr>
          <w:p>
            <w:pPr>
              <w:overflowPunct w:val="0"/>
              <w:adjustRightInd w:val="0"/>
              <w:jc w:val="center"/>
              <w:rPr>
                <w:rFonts w:ascii="Times New Roman" w:hAnsi="Times New Roman"/>
                <w:szCs w:val="21"/>
              </w:rPr>
            </w:pPr>
            <w:r>
              <w:rPr>
                <w:rFonts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电热干燥箱</w:t>
            </w:r>
          </w:p>
        </w:tc>
        <w:tc>
          <w:tcPr>
            <w:tcW w:w="1836" w:type="dxa"/>
            <w:gridSpan w:val="3"/>
            <w:shd w:val="clear" w:color="auto" w:fill="auto"/>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马弗炉</w:t>
            </w:r>
          </w:p>
        </w:tc>
        <w:tc>
          <w:tcPr>
            <w:tcW w:w="1836" w:type="dxa"/>
            <w:gridSpan w:val="3"/>
            <w:shd w:val="clear" w:color="auto" w:fill="auto"/>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常用玻璃器皿</w:t>
            </w:r>
          </w:p>
        </w:tc>
        <w:tc>
          <w:tcPr>
            <w:tcW w:w="1836" w:type="dxa"/>
            <w:gridSpan w:val="3"/>
            <w:shd w:val="clear" w:color="auto" w:fill="auto"/>
          </w:tcPr>
          <w:p>
            <w:pPr>
              <w:overflowPunct w:val="0"/>
              <w:adjustRightInd w:val="0"/>
              <w:jc w:val="center"/>
              <w:rPr>
                <w:rFonts w:ascii="Times New Roman" w:hAnsi="Times New Roman"/>
                <w:szCs w:val="21"/>
              </w:rPr>
            </w:pPr>
            <w:r>
              <w:rPr>
                <w:rFonts w:ascii="Times New Roman" w:hAnsi="Times New Roman"/>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整体通风橱</w:t>
            </w:r>
          </w:p>
        </w:tc>
        <w:tc>
          <w:tcPr>
            <w:tcW w:w="1836" w:type="dxa"/>
            <w:gridSpan w:val="3"/>
            <w:shd w:val="clear" w:color="auto" w:fill="auto"/>
          </w:tcPr>
          <w:p>
            <w:pPr>
              <w:overflowPunct w:val="0"/>
              <w:adjustRightIn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蒸馏设备</w:t>
            </w:r>
          </w:p>
        </w:tc>
        <w:tc>
          <w:tcPr>
            <w:tcW w:w="1836" w:type="dxa"/>
            <w:gridSpan w:val="3"/>
            <w:shd w:val="clear" w:color="auto" w:fill="auto"/>
          </w:tcPr>
          <w:p>
            <w:pPr>
              <w:overflowPunct w:val="0"/>
              <w:adjustRightInd w:val="0"/>
              <w:jc w:val="center"/>
              <w:rPr>
                <w:rFonts w:ascii="Times New Roman" w:hAnsi="Times New Roman"/>
                <w:szCs w:val="21"/>
              </w:rPr>
            </w:pPr>
            <w:r>
              <w:rPr>
                <w:rFonts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滴定设备</w:t>
            </w:r>
          </w:p>
        </w:tc>
        <w:tc>
          <w:tcPr>
            <w:tcW w:w="1836" w:type="dxa"/>
            <w:gridSpan w:val="3"/>
            <w:shd w:val="clear" w:color="auto" w:fill="auto"/>
          </w:tcPr>
          <w:p>
            <w:pPr>
              <w:overflowPunct w:val="0"/>
              <w:adjustRightInd w:val="0"/>
              <w:jc w:val="center"/>
              <w:rPr>
                <w:rFonts w:ascii="Times New Roman" w:hAnsi="Times New Roman"/>
                <w:szCs w:val="21"/>
              </w:rPr>
            </w:pPr>
            <w:r>
              <w:rPr>
                <w:rFonts w:ascii="Times New Roman" w:hAnsi="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名称</w:t>
            </w:r>
          </w:p>
        </w:tc>
        <w:tc>
          <w:tcPr>
            <w:tcW w:w="3400"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主要实训内容</w:t>
            </w:r>
          </w:p>
        </w:tc>
        <w:tc>
          <w:tcPr>
            <w:tcW w:w="2835"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主要设备名称</w:t>
            </w:r>
          </w:p>
        </w:tc>
        <w:tc>
          <w:tcPr>
            <w:tcW w:w="1836" w:type="dxa"/>
            <w:gridSpan w:val="3"/>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restart"/>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食品理化检测实训室</w:t>
            </w:r>
          </w:p>
        </w:tc>
        <w:tc>
          <w:tcPr>
            <w:tcW w:w="3400" w:type="dxa"/>
            <w:gridSpan w:val="2"/>
            <w:vMerge w:val="restart"/>
            <w:shd w:val="clear" w:color="auto" w:fill="auto"/>
            <w:vAlign w:val="center"/>
          </w:tcPr>
          <w:p>
            <w:pPr>
              <w:overflowPunct w:val="0"/>
              <w:adjustRightInd w:val="0"/>
              <w:rPr>
                <w:rFonts w:ascii="Times New Roman" w:hAnsi="Times New Roman"/>
                <w:szCs w:val="21"/>
              </w:rPr>
            </w:pPr>
            <w:r>
              <w:rPr>
                <w:rFonts w:ascii="Times New Roman" w:hAnsi="Times New Roman"/>
                <w:szCs w:val="21"/>
              </w:rPr>
              <w:t>1．食品的物理检验</w:t>
            </w:r>
          </w:p>
          <w:p>
            <w:pPr>
              <w:overflowPunct w:val="0"/>
              <w:adjustRightInd w:val="0"/>
              <w:rPr>
                <w:rFonts w:ascii="Times New Roman" w:hAnsi="Times New Roman"/>
                <w:szCs w:val="21"/>
              </w:rPr>
            </w:pPr>
            <w:r>
              <w:rPr>
                <w:rFonts w:ascii="Times New Roman" w:hAnsi="Times New Roman"/>
                <w:szCs w:val="21"/>
              </w:rPr>
              <w:t>2．食品中一般成分的检验</w:t>
            </w:r>
          </w:p>
          <w:p>
            <w:pPr>
              <w:overflowPunct w:val="0"/>
              <w:adjustRightInd w:val="0"/>
              <w:rPr>
                <w:rFonts w:ascii="Times New Roman" w:hAnsi="Times New Roman"/>
                <w:szCs w:val="21"/>
              </w:rPr>
            </w:pPr>
            <w:r>
              <w:rPr>
                <w:rFonts w:ascii="Times New Roman" w:hAnsi="Times New Roman"/>
                <w:szCs w:val="21"/>
              </w:rPr>
              <w:t>3．食品添加剂的检验</w:t>
            </w:r>
          </w:p>
          <w:p>
            <w:pPr>
              <w:overflowPunct w:val="0"/>
              <w:adjustRightInd w:val="0"/>
              <w:rPr>
                <w:rFonts w:ascii="Times New Roman" w:hAnsi="Times New Roman"/>
                <w:szCs w:val="21"/>
              </w:rPr>
            </w:pPr>
            <w:r>
              <w:rPr>
                <w:rFonts w:ascii="Times New Roman" w:hAnsi="Times New Roman"/>
                <w:szCs w:val="21"/>
              </w:rPr>
              <w:t>4．食品中矿物质的检验</w:t>
            </w:r>
          </w:p>
          <w:p>
            <w:pPr>
              <w:overflowPunct w:val="0"/>
              <w:adjustRightInd w:val="0"/>
              <w:rPr>
                <w:rFonts w:ascii="Times New Roman" w:hAnsi="Times New Roman"/>
                <w:szCs w:val="21"/>
              </w:rPr>
            </w:pPr>
            <w:r>
              <w:rPr>
                <w:rFonts w:ascii="Times New Roman" w:hAnsi="Times New Roman"/>
                <w:szCs w:val="21"/>
              </w:rPr>
              <w:t>5．食品中功能性成分的检验</w:t>
            </w:r>
          </w:p>
          <w:p>
            <w:pPr>
              <w:overflowPunct w:val="0"/>
              <w:adjustRightInd w:val="0"/>
              <w:rPr>
                <w:rFonts w:ascii="Times New Roman" w:hAnsi="Times New Roman"/>
                <w:szCs w:val="21"/>
              </w:rPr>
            </w:pPr>
            <w:r>
              <w:rPr>
                <w:rFonts w:ascii="Times New Roman" w:hAnsi="Times New Roman"/>
                <w:szCs w:val="21"/>
              </w:rPr>
              <w:t>6．食品中常见有害物质的检验</w:t>
            </w:r>
          </w:p>
          <w:p>
            <w:pPr>
              <w:overflowPunct w:val="0"/>
              <w:adjustRightInd w:val="0"/>
              <w:rPr>
                <w:rFonts w:ascii="Times New Roman" w:hAnsi="Times New Roman"/>
                <w:szCs w:val="21"/>
              </w:rPr>
            </w:pPr>
            <w:r>
              <w:rPr>
                <w:rFonts w:ascii="Times New Roman" w:hAnsi="Times New Roman"/>
                <w:szCs w:val="21"/>
              </w:rPr>
              <w:t>7．食品包装材料及容器的检验</w:t>
            </w: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电子分析天平</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vAlign w:val="center"/>
          </w:tcPr>
          <w:p>
            <w:pPr>
              <w:overflowPunct w:val="0"/>
              <w:adjustRightInd w:val="0"/>
              <w:jc w:val="center"/>
              <w:rPr>
                <w:rFonts w:ascii="Times New Roman" w:hAnsi="Times New Roman"/>
                <w:szCs w:val="21"/>
              </w:rPr>
            </w:pPr>
          </w:p>
        </w:tc>
        <w:tc>
          <w:tcPr>
            <w:tcW w:w="3400" w:type="dxa"/>
            <w:gridSpan w:val="2"/>
            <w:vMerge w:val="continue"/>
            <w:shd w:val="clear" w:color="auto" w:fill="auto"/>
            <w:vAlign w:val="center"/>
          </w:tcPr>
          <w:p>
            <w:pPr>
              <w:overflowPunct w:val="0"/>
              <w:adjustRightInd w:val="0"/>
              <w:rPr>
                <w:rFonts w:ascii="Times New Roman" w:hAnsi="Times New Roman"/>
                <w:szCs w:val="21"/>
              </w:rPr>
            </w:pPr>
          </w:p>
        </w:tc>
        <w:tc>
          <w:tcPr>
            <w:tcW w:w="2835" w:type="dxa"/>
            <w:gridSpan w:val="2"/>
            <w:shd w:val="clear" w:color="auto" w:fill="auto"/>
            <w:vAlign w:val="center"/>
          </w:tcPr>
          <w:p>
            <w:pPr>
              <w:tabs>
                <w:tab w:val="left" w:pos="9540"/>
              </w:tabs>
              <w:snapToGrid w:val="0"/>
              <w:rPr>
                <w:rFonts w:ascii="Times New Roman" w:hAnsi="Times New Roman"/>
                <w:szCs w:val="21"/>
              </w:rPr>
            </w:pPr>
            <w:r>
              <w:rPr>
                <w:rFonts w:ascii="Times New Roman" w:hAnsi="Times New Roman"/>
                <w:szCs w:val="21"/>
              </w:rPr>
              <w:t>气相色谱仪</w:t>
            </w:r>
          </w:p>
        </w:tc>
        <w:tc>
          <w:tcPr>
            <w:tcW w:w="1836" w:type="dxa"/>
            <w:gridSpan w:val="3"/>
            <w:shd w:val="clear" w:color="auto" w:fill="auto"/>
            <w:vAlign w:val="center"/>
          </w:tcPr>
          <w:p>
            <w:pPr>
              <w:tabs>
                <w:tab w:val="left" w:pos="9540"/>
              </w:tabs>
              <w:snapToGri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vAlign w:val="center"/>
          </w:tcPr>
          <w:p>
            <w:pPr>
              <w:overflowPunct w:val="0"/>
              <w:adjustRightInd w:val="0"/>
              <w:jc w:val="center"/>
              <w:rPr>
                <w:rFonts w:ascii="Times New Roman" w:hAnsi="Times New Roman"/>
                <w:szCs w:val="21"/>
              </w:rPr>
            </w:pPr>
          </w:p>
        </w:tc>
        <w:tc>
          <w:tcPr>
            <w:tcW w:w="3400" w:type="dxa"/>
            <w:gridSpan w:val="2"/>
            <w:vMerge w:val="continue"/>
            <w:shd w:val="clear" w:color="auto" w:fill="auto"/>
            <w:vAlign w:val="center"/>
          </w:tcPr>
          <w:p>
            <w:pPr>
              <w:overflowPunct w:val="0"/>
              <w:adjustRightInd w:val="0"/>
              <w:rPr>
                <w:rFonts w:ascii="Times New Roman" w:hAnsi="Times New Roman"/>
                <w:szCs w:val="21"/>
              </w:rPr>
            </w:pPr>
          </w:p>
        </w:tc>
        <w:tc>
          <w:tcPr>
            <w:tcW w:w="2835" w:type="dxa"/>
            <w:gridSpan w:val="2"/>
            <w:shd w:val="clear" w:color="auto" w:fill="auto"/>
            <w:vAlign w:val="center"/>
          </w:tcPr>
          <w:p>
            <w:pPr>
              <w:tabs>
                <w:tab w:val="left" w:pos="9540"/>
              </w:tabs>
              <w:snapToGrid w:val="0"/>
              <w:rPr>
                <w:rFonts w:ascii="Times New Roman" w:hAnsi="Times New Roman"/>
                <w:szCs w:val="21"/>
              </w:rPr>
            </w:pPr>
            <w:r>
              <w:rPr>
                <w:rFonts w:ascii="Times New Roman" w:hAnsi="Times New Roman"/>
                <w:szCs w:val="21"/>
              </w:rPr>
              <w:t>原子吸收分光光度计</w:t>
            </w:r>
          </w:p>
        </w:tc>
        <w:tc>
          <w:tcPr>
            <w:tcW w:w="1836" w:type="dxa"/>
            <w:gridSpan w:val="3"/>
            <w:shd w:val="clear" w:color="auto" w:fill="auto"/>
            <w:vAlign w:val="center"/>
          </w:tcPr>
          <w:p>
            <w:pPr>
              <w:tabs>
                <w:tab w:val="left" w:pos="9540"/>
              </w:tabs>
              <w:snapToGri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vAlign w:val="center"/>
          </w:tcPr>
          <w:p>
            <w:pPr>
              <w:overflowPunct w:val="0"/>
              <w:adjustRightInd w:val="0"/>
              <w:jc w:val="center"/>
              <w:rPr>
                <w:rFonts w:ascii="Times New Roman" w:hAnsi="Times New Roman"/>
                <w:szCs w:val="21"/>
              </w:rPr>
            </w:pPr>
          </w:p>
        </w:tc>
        <w:tc>
          <w:tcPr>
            <w:tcW w:w="3400" w:type="dxa"/>
            <w:gridSpan w:val="2"/>
            <w:vMerge w:val="continue"/>
            <w:shd w:val="clear" w:color="auto" w:fill="auto"/>
            <w:vAlign w:val="center"/>
          </w:tcPr>
          <w:p>
            <w:pPr>
              <w:overflowPunct w:val="0"/>
              <w:adjustRightInd w:val="0"/>
              <w:rPr>
                <w:rFonts w:ascii="Times New Roman" w:hAnsi="Times New Roman"/>
                <w:szCs w:val="21"/>
              </w:rPr>
            </w:pPr>
          </w:p>
        </w:tc>
        <w:tc>
          <w:tcPr>
            <w:tcW w:w="2835" w:type="dxa"/>
            <w:gridSpan w:val="2"/>
            <w:shd w:val="clear" w:color="auto" w:fill="auto"/>
            <w:vAlign w:val="center"/>
          </w:tcPr>
          <w:p>
            <w:pPr>
              <w:tabs>
                <w:tab w:val="left" w:pos="9540"/>
              </w:tabs>
              <w:snapToGrid w:val="0"/>
              <w:rPr>
                <w:rFonts w:ascii="Times New Roman" w:hAnsi="Times New Roman"/>
                <w:szCs w:val="21"/>
              </w:rPr>
            </w:pPr>
            <w:r>
              <w:rPr>
                <w:rFonts w:ascii="Times New Roman" w:hAnsi="Times New Roman"/>
                <w:szCs w:val="21"/>
              </w:rPr>
              <w:t>高效液相色谱仪</w:t>
            </w:r>
          </w:p>
        </w:tc>
        <w:tc>
          <w:tcPr>
            <w:tcW w:w="1836" w:type="dxa"/>
            <w:gridSpan w:val="3"/>
            <w:shd w:val="clear" w:color="auto" w:fill="auto"/>
            <w:vAlign w:val="center"/>
          </w:tcPr>
          <w:p>
            <w:pPr>
              <w:tabs>
                <w:tab w:val="left" w:pos="9540"/>
              </w:tabs>
              <w:snapToGri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vAlign w:val="center"/>
          </w:tcPr>
          <w:p>
            <w:pPr>
              <w:overflowPunct w:val="0"/>
              <w:adjustRightInd w:val="0"/>
              <w:jc w:val="center"/>
              <w:rPr>
                <w:rFonts w:ascii="Times New Roman" w:hAnsi="Times New Roman"/>
                <w:szCs w:val="21"/>
              </w:rPr>
            </w:pPr>
          </w:p>
        </w:tc>
        <w:tc>
          <w:tcPr>
            <w:tcW w:w="3400" w:type="dxa"/>
            <w:gridSpan w:val="2"/>
            <w:vMerge w:val="continue"/>
            <w:shd w:val="clear" w:color="auto" w:fill="auto"/>
            <w:vAlign w:val="center"/>
          </w:tcPr>
          <w:p>
            <w:pPr>
              <w:overflowPunct w:val="0"/>
              <w:adjustRightInd w:val="0"/>
              <w:rPr>
                <w:rFonts w:ascii="Times New Roman" w:hAnsi="Times New Roman"/>
                <w:szCs w:val="21"/>
              </w:rPr>
            </w:pPr>
          </w:p>
        </w:tc>
        <w:tc>
          <w:tcPr>
            <w:tcW w:w="2835" w:type="dxa"/>
            <w:gridSpan w:val="2"/>
            <w:shd w:val="clear" w:color="auto" w:fill="auto"/>
            <w:vAlign w:val="center"/>
          </w:tcPr>
          <w:p>
            <w:pPr>
              <w:tabs>
                <w:tab w:val="left" w:pos="9540"/>
              </w:tabs>
              <w:snapToGrid w:val="0"/>
              <w:rPr>
                <w:rFonts w:ascii="Times New Roman" w:hAnsi="Times New Roman"/>
                <w:szCs w:val="21"/>
              </w:rPr>
            </w:pPr>
            <w:r>
              <w:rPr>
                <w:rFonts w:ascii="Times New Roman" w:hAnsi="Times New Roman"/>
                <w:szCs w:val="21"/>
              </w:rPr>
              <w:t>可见-紫外分光光度计</w:t>
            </w:r>
          </w:p>
        </w:tc>
        <w:tc>
          <w:tcPr>
            <w:tcW w:w="1836" w:type="dxa"/>
            <w:gridSpan w:val="3"/>
            <w:shd w:val="clear" w:color="auto" w:fill="auto"/>
            <w:vAlign w:val="center"/>
          </w:tcPr>
          <w:p>
            <w:pPr>
              <w:tabs>
                <w:tab w:val="left" w:pos="9540"/>
              </w:tabs>
              <w:snapToGri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旋光仪</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黏度计</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折光计</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比重计</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电热干燥箱</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减压烘箱</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马弗炉</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恒温水浴锅</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索氏抽提器</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凯氏定氮仪</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微波消化装置</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离心机</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电磁搅拌器</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组织捣碎机</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小型粉碎机</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电动振动器</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酸度计、玻璃电极、甘汞电极、</w:t>
            </w:r>
          </w:p>
        </w:tc>
        <w:tc>
          <w:tcPr>
            <w:tcW w:w="1836" w:type="dxa"/>
            <w:gridSpan w:val="3"/>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涡旋振荡器</w:t>
            </w:r>
          </w:p>
        </w:tc>
        <w:tc>
          <w:tcPr>
            <w:tcW w:w="1836" w:type="dxa"/>
            <w:gridSpan w:val="3"/>
            <w:shd w:val="clear" w:color="auto" w:fill="auto"/>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835"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常用玻璃器皿</w:t>
            </w:r>
          </w:p>
        </w:tc>
        <w:tc>
          <w:tcPr>
            <w:tcW w:w="1836" w:type="dxa"/>
            <w:gridSpan w:val="3"/>
            <w:shd w:val="clear" w:color="auto" w:fill="auto"/>
          </w:tcPr>
          <w:p>
            <w:pPr>
              <w:overflowPunct w:val="0"/>
              <w:adjustRightInd w:val="0"/>
              <w:jc w:val="center"/>
              <w:rPr>
                <w:rFonts w:ascii="Times New Roman" w:hAnsi="Times New Roman"/>
                <w:szCs w:val="21"/>
              </w:rPr>
            </w:pPr>
            <w:r>
              <w:rPr>
                <w:rFonts w:ascii="Times New Roman" w:hAnsi="Times New Roman"/>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名称</w:t>
            </w:r>
          </w:p>
        </w:tc>
        <w:tc>
          <w:tcPr>
            <w:tcW w:w="3400"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主要实训内容</w:t>
            </w:r>
          </w:p>
        </w:tc>
        <w:tc>
          <w:tcPr>
            <w:tcW w:w="2835"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主要设备名称</w:t>
            </w:r>
          </w:p>
        </w:tc>
        <w:tc>
          <w:tcPr>
            <w:tcW w:w="1836" w:type="dxa"/>
            <w:gridSpan w:val="3"/>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restart"/>
            <w:vAlign w:val="center"/>
          </w:tcPr>
          <w:p>
            <w:pPr>
              <w:tabs>
                <w:tab w:val="left" w:pos="9540"/>
              </w:tabs>
              <w:snapToGrid w:val="0"/>
              <w:jc w:val="center"/>
              <w:rPr>
                <w:rFonts w:ascii="Times New Roman" w:hAnsi="Times New Roman"/>
                <w:szCs w:val="21"/>
              </w:rPr>
            </w:pPr>
            <w:r>
              <w:rPr>
                <w:rFonts w:ascii="Times New Roman" w:hAnsi="Times New Roman"/>
                <w:b/>
                <w:bCs/>
                <w:szCs w:val="21"/>
              </w:rPr>
              <w:t>食品微生物检测实训室</w:t>
            </w:r>
          </w:p>
        </w:tc>
        <w:tc>
          <w:tcPr>
            <w:tcW w:w="3393" w:type="dxa"/>
            <w:gridSpan w:val="2"/>
            <w:vMerge w:val="restart"/>
            <w:vAlign w:val="center"/>
          </w:tcPr>
          <w:p>
            <w:pPr>
              <w:tabs>
                <w:tab w:val="left" w:pos="9540"/>
              </w:tabs>
              <w:snapToGrid w:val="0"/>
              <w:rPr>
                <w:rFonts w:ascii="Times New Roman" w:hAnsi="Times New Roman"/>
                <w:szCs w:val="21"/>
              </w:rPr>
            </w:pPr>
            <w:r>
              <w:rPr>
                <w:rFonts w:ascii="Times New Roman" w:hAnsi="Times New Roman"/>
                <w:szCs w:val="21"/>
              </w:rPr>
              <w:t>1．细菌形态学检验</w:t>
            </w:r>
          </w:p>
          <w:p>
            <w:pPr>
              <w:tabs>
                <w:tab w:val="left" w:pos="9540"/>
              </w:tabs>
              <w:snapToGrid w:val="0"/>
              <w:rPr>
                <w:rFonts w:ascii="Times New Roman" w:hAnsi="Times New Roman"/>
                <w:szCs w:val="21"/>
              </w:rPr>
            </w:pPr>
            <w:r>
              <w:rPr>
                <w:rFonts w:ascii="Times New Roman" w:hAnsi="Times New Roman"/>
                <w:szCs w:val="21"/>
              </w:rPr>
              <w:t>2．细菌生理学检查</w:t>
            </w:r>
          </w:p>
          <w:p>
            <w:pPr>
              <w:tabs>
                <w:tab w:val="left" w:pos="9540"/>
              </w:tabs>
              <w:snapToGrid w:val="0"/>
              <w:rPr>
                <w:rFonts w:ascii="Times New Roman" w:hAnsi="Times New Roman"/>
                <w:szCs w:val="21"/>
              </w:rPr>
            </w:pPr>
            <w:r>
              <w:rPr>
                <w:rFonts w:ascii="Times New Roman" w:hAnsi="Times New Roman"/>
                <w:szCs w:val="21"/>
              </w:rPr>
              <w:t>3．细菌卫生一般检验</w:t>
            </w:r>
          </w:p>
          <w:p>
            <w:pPr>
              <w:tabs>
                <w:tab w:val="left" w:pos="9540"/>
              </w:tabs>
              <w:snapToGrid w:val="0"/>
              <w:rPr>
                <w:rFonts w:ascii="Times New Roman" w:hAnsi="Times New Roman"/>
                <w:szCs w:val="21"/>
              </w:rPr>
            </w:pPr>
            <w:r>
              <w:rPr>
                <w:rFonts w:ascii="Times New Roman" w:hAnsi="Times New Roman"/>
                <w:szCs w:val="21"/>
              </w:rPr>
              <w:t>4．常见致病菌检验</w:t>
            </w:r>
          </w:p>
          <w:p>
            <w:pPr>
              <w:tabs>
                <w:tab w:val="left" w:pos="9540"/>
              </w:tabs>
              <w:snapToGrid w:val="0"/>
              <w:rPr>
                <w:rFonts w:ascii="Times New Roman" w:hAnsi="Times New Roman"/>
                <w:szCs w:val="21"/>
              </w:rPr>
            </w:pPr>
            <w:r>
              <w:rPr>
                <w:rFonts w:ascii="Times New Roman" w:hAnsi="Times New Roman"/>
                <w:szCs w:val="21"/>
              </w:rPr>
              <w:t>5．真菌学检验</w:t>
            </w:r>
          </w:p>
        </w:tc>
        <w:tc>
          <w:tcPr>
            <w:tcW w:w="2856" w:type="dxa"/>
            <w:gridSpan w:val="3"/>
            <w:vAlign w:val="center"/>
          </w:tcPr>
          <w:p>
            <w:pPr>
              <w:tabs>
                <w:tab w:val="left" w:pos="9540"/>
              </w:tabs>
              <w:snapToGrid w:val="0"/>
              <w:rPr>
                <w:rFonts w:ascii="Times New Roman" w:hAnsi="Times New Roman"/>
                <w:szCs w:val="21"/>
              </w:rPr>
            </w:pPr>
            <w:r>
              <w:rPr>
                <w:rFonts w:ascii="Times New Roman" w:hAnsi="Times New Roman"/>
                <w:szCs w:val="21"/>
              </w:rPr>
              <w:t>光学显微镜</w:t>
            </w:r>
          </w:p>
        </w:tc>
        <w:tc>
          <w:tcPr>
            <w:tcW w:w="1815"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56" w:type="dxa"/>
            <w:gridSpan w:val="3"/>
            <w:vAlign w:val="center"/>
          </w:tcPr>
          <w:p>
            <w:pPr>
              <w:tabs>
                <w:tab w:val="left" w:pos="9540"/>
              </w:tabs>
              <w:snapToGrid w:val="0"/>
              <w:rPr>
                <w:rFonts w:ascii="Times New Roman" w:hAnsi="Times New Roman"/>
                <w:szCs w:val="21"/>
              </w:rPr>
            </w:pPr>
            <w:r>
              <w:rPr>
                <w:rFonts w:ascii="Times New Roman" w:hAnsi="Times New Roman"/>
                <w:szCs w:val="21"/>
              </w:rPr>
              <w:t>高压蒸汽灭菌锅</w:t>
            </w:r>
          </w:p>
        </w:tc>
        <w:tc>
          <w:tcPr>
            <w:tcW w:w="1815"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56" w:type="dxa"/>
            <w:gridSpan w:val="3"/>
            <w:vAlign w:val="center"/>
          </w:tcPr>
          <w:p>
            <w:pPr>
              <w:tabs>
                <w:tab w:val="left" w:pos="9540"/>
              </w:tabs>
              <w:snapToGrid w:val="0"/>
              <w:rPr>
                <w:rFonts w:ascii="Times New Roman" w:hAnsi="Times New Roman"/>
                <w:szCs w:val="21"/>
              </w:rPr>
            </w:pPr>
            <w:r>
              <w:rPr>
                <w:rFonts w:ascii="Times New Roman" w:hAnsi="Times New Roman"/>
                <w:szCs w:val="21"/>
              </w:rPr>
              <w:t>恒温培养箱</w:t>
            </w:r>
          </w:p>
        </w:tc>
        <w:tc>
          <w:tcPr>
            <w:tcW w:w="1815"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56" w:type="dxa"/>
            <w:gridSpan w:val="3"/>
            <w:vAlign w:val="center"/>
          </w:tcPr>
          <w:p>
            <w:pPr>
              <w:tabs>
                <w:tab w:val="left" w:pos="9540"/>
              </w:tabs>
              <w:snapToGrid w:val="0"/>
              <w:rPr>
                <w:rFonts w:ascii="Times New Roman" w:hAnsi="Times New Roman"/>
                <w:szCs w:val="21"/>
              </w:rPr>
            </w:pPr>
            <w:r>
              <w:rPr>
                <w:rFonts w:ascii="Times New Roman" w:hAnsi="Times New Roman"/>
                <w:szCs w:val="21"/>
              </w:rPr>
              <w:t>恒温摇床</w:t>
            </w:r>
          </w:p>
        </w:tc>
        <w:tc>
          <w:tcPr>
            <w:tcW w:w="1815"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56" w:type="dxa"/>
            <w:gridSpan w:val="3"/>
            <w:vAlign w:val="center"/>
          </w:tcPr>
          <w:p>
            <w:pPr>
              <w:tabs>
                <w:tab w:val="left" w:pos="9540"/>
              </w:tabs>
              <w:snapToGrid w:val="0"/>
              <w:rPr>
                <w:rFonts w:ascii="Times New Roman" w:hAnsi="Times New Roman"/>
                <w:szCs w:val="21"/>
              </w:rPr>
            </w:pPr>
            <w:r>
              <w:rPr>
                <w:rFonts w:ascii="Times New Roman" w:hAnsi="Times New Roman"/>
                <w:szCs w:val="21"/>
              </w:rPr>
              <w:t>冰箱</w:t>
            </w:r>
          </w:p>
        </w:tc>
        <w:tc>
          <w:tcPr>
            <w:tcW w:w="1815"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56" w:type="dxa"/>
            <w:gridSpan w:val="3"/>
            <w:vAlign w:val="center"/>
          </w:tcPr>
          <w:p>
            <w:pPr>
              <w:tabs>
                <w:tab w:val="left" w:pos="9540"/>
              </w:tabs>
              <w:snapToGrid w:val="0"/>
              <w:rPr>
                <w:rFonts w:ascii="Times New Roman" w:hAnsi="Times New Roman"/>
                <w:szCs w:val="21"/>
              </w:rPr>
            </w:pPr>
            <w:r>
              <w:rPr>
                <w:rFonts w:ascii="Times New Roman" w:hAnsi="Times New Roman"/>
                <w:szCs w:val="21"/>
              </w:rPr>
              <w:t>超净工作台</w:t>
            </w:r>
          </w:p>
        </w:tc>
        <w:tc>
          <w:tcPr>
            <w:tcW w:w="1815"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56" w:type="dxa"/>
            <w:gridSpan w:val="3"/>
            <w:vAlign w:val="center"/>
          </w:tcPr>
          <w:p>
            <w:pPr>
              <w:tabs>
                <w:tab w:val="left" w:pos="9540"/>
              </w:tabs>
              <w:snapToGrid w:val="0"/>
              <w:rPr>
                <w:rFonts w:ascii="Times New Roman" w:hAnsi="Times New Roman"/>
                <w:szCs w:val="21"/>
              </w:rPr>
            </w:pPr>
            <w:r>
              <w:rPr>
                <w:rFonts w:ascii="Times New Roman" w:hAnsi="Times New Roman"/>
                <w:szCs w:val="21"/>
              </w:rPr>
              <w:t>pH计</w:t>
            </w:r>
          </w:p>
        </w:tc>
        <w:tc>
          <w:tcPr>
            <w:tcW w:w="1815"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56" w:type="dxa"/>
            <w:gridSpan w:val="3"/>
            <w:tcBorders>
              <w:bottom w:val="single" w:color="auto" w:sz="4" w:space="0"/>
            </w:tcBorders>
            <w:vAlign w:val="center"/>
          </w:tcPr>
          <w:p>
            <w:pPr>
              <w:tabs>
                <w:tab w:val="left" w:pos="9540"/>
              </w:tabs>
              <w:snapToGrid w:val="0"/>
              <w:rPr>
                <w:rFonts w:ascii="Times New Roman" w:hAnsi="Times New Roman"/>
                <w:szCs w:val="21"/>
              </w:rPr>
            </w:pPr>
            <w:r>
              <w:rPr>
                <w:rFonts w:ascii="Times New Roman" w:hAnsi="Times New Roman"/>
                <w:szCs w:val="21"/>
              </w:rPr>
              <w:t>分析天平</w:t>
            </w:r>
          </w:p>
        </w:tc>
        <w:tc>
          <w:tcPr>
            <w:tcW w:w="1815" w:type="dxa"/>
            <w:gridSpan w:val="2"/>
            <w:tcBorders>
              <w:bottom w:val="single" w:color="auto" w:sz="4" w:space="0"/>
            </w:tcBorders>
            <w:vAlign w:val="center"/>
          </w:tcPr>
          <w:p>
            <w:pPr>
              <w:tabs>
                <w:tab w:val="left" w:pos="9540"/>
              </w:tabs>
              <w:snapToGri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56" w:type="dxa"/>
            <w:gridSpan w:val="3"/>
            <w:vAlign w:val="center"/>
          </w:tcPr>
          <w:p>
            <w:pPr>
              <w:tabs>
                <w:tab w:val="left" w:pos="9540"/>
              </w:tabs>
              <w:snapToGrid w:val="0"/>
              <w:rPr>
                <w:rFonts w:ascii="Times New Roman" w:hAnsi="Times New Roman"/>
                <w:szCs w:val="21"/>
              </w:rPr>
            </w:pPr>
            <w:r>
              <w:rPr>
                <w:rFonts w:ascii="Times New Roman" w:hAnsi="Times New Roman"/>
                <w:szCs w:val="21"/>
              </w:rPr>
              <w:t>恒温水浴锅</w:t>
            </w:r>
          </w:p>
        </w:tc>
        <w:tc>
          <w:tcPr>
            <w:tcW w:w="1815"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Align w:val="center"/>
          </w:tcPr>
          <w:p>
            <w:pPr>
              <w:tabs>
                <w:tab w:val="left" w:pos="9540"/>
              </w:tabs>
              <w:snapToGrid w:val="0"/>
              <w:jc w:val="center"/>
              <w:rPr>
                <w:rFonts w:ascii="Times New Roman" w:hAnsi="Times New Roman"/>
                <w:b/>
                <w:bCs/>
                <w:szCs w:val="21"/>
              </w:rPr>
            </w:pPr>
            <w:r>
              <w:rPr>
                <w:rFonts w:ascii="Times New Roman" w:hAnsi="Times New Roman"/>
                <w:b/>
                <w:bCs/>
                <w:szCs w:val="21"/>
              </w:rPr>
              <w:t>名称</w:t>
            </w:r>
          </w:p>
        </w:tc>
        <w:tc>
          <w:tcPr>
            <w:tcW w:w="3393" w:type="dxa"/>
            <w:gridSpan w:val="2"/>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主要实训内容</w:t>
            </w:r>
          </w:p>
        </w:tc>
        <w:tc>
          <w:tcPr>
            <w:tcW w:w="2842" w:type="dxa"/>
            <w:gridSpan w:val="2"/>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主要设备名称</w:t>
            </w:r>
          </w:p>
        </w:tc>
        <w:tc>
          <w:tcPr>
            <w:tcW w:w="1829" w:type="dxa"/>
            <w:gridSpan w:val="3"/>
            <w:vAlign w:val="center"/>
          </w:tcPr>
          <w:p>
            <w:pPr>
              <w:tabs>
                <w:tab w:val="left" w:pos="9540"/>
              </w:tabs>
              <w:snapToGrid w:val="0"/>
              <w:jc w:val="center"/>
              <w:rPr>
                <w:rFonts w:ascii="Times New Roman" w:hAnsi="Times New Roman"/>
                <w:b/>
                <w:bCs/>
                <w:szCs w:val="21"/>
              </w:rPr>
            </w:pPr>
            <w:r>
              <w:rPr>
                <w:rFonts w:ascii="Times New Roman" w:hAnsi="Times New Roman"/>
                <w:b/>
                <w:bCs/>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restart"/>
            <w:vAlign w:val="center"/>
          </w:tcPr>
          <w:p>
            <w:pPr>
              <w:tabs>
                <w:tab w:val="left" w:pos="9540"/>
              </w:tabs>
              <w:snapToGrid w:val="0"/>
              <w:jc w:val="center"/>
              <w:rPr>
                <w:rFonts w:ascii="Times New Roman" w:hAnsi="Times New Roman"/>
                <w:szCs w:val="21"/>
              </w:rPr>
            </w:pPr>
            <w:r>
              <w:rPr>
                <w:rFonts w:ascii="Times New Roman" w:hAnsi="Times New Roman"/>
                <w:b/>
                <w:bCs/>
                <w:szCs w:val="21"/>
              </w:rPr>
              <w:t>食品加工实训室</w:t>
            </w:r>
          </w:p>
        </w:tc>
        <w:tc>
          <w:tcPr>
            <w:tcW w:w="3393" w:type="dxa"/>
            <w:gridSpan w:val="2"/>
            <w:vMerge w:val="restart"/>
            <w:vAlign w:val="center"/>
          </w:tcPr>
          <w:p>
            <w:pPr>
              <w:tabs>
                <w:tab w:val="left" w:pos="9540"/>
              </w:tabs>
              <w:snapToGrid w:val="0"/>
              <w:rPr>
                <w:rFonts w:ascii="Times New Roman" w:hAnsi="Times New Roman"/>
                <w:szCs w:val="21"/>
              </w:rPr>
            </w:pPr>
            <w:r>
              <w:rPr>
                <w:rFonts w:ascii="Times New Roman" w:hAnsi="Times New Roman"/>
                <w:szCs w:val="21"/>
              </w:rPr>
              <w:t>焙烤食品加工</w:t>
            </w:r>
          </w:p>
          <w:p>
            <w:pPr>
              <w:tabs>
                <w:tab w:val="left" w:pos="9540"/>
              </w:tabs>
              <w:snapToGrid w:val="0"/>
              <w:rPr>
                <w:rFonts w:ascii="Times New Roman" w:hAnsi="Times New Roman"/>
                <w:szCs w:val="21"/>
              </w:rPr>
            </w:pPr>
            <w:r>
              <w:rPr>
                <w:rFonts w:ascii="Times New Roman" w:hAnsi="Times New Roman"/>
                <w:szCs w:val="21"/>
              </w:rPr>
              <w:t>果蔬汁加工</w:t>
            </w:r>
          </w:p>
          <w:p>
            <w:pPr>
              <w:tabs>
                <w:tab w:val="left" w:pos="9540"/>
              </w:tabs>
              <w:snapToGrid w:val="0"/>
              <w:rPr>
                <w:rFonts w:ascii="Times New Roman" w:hAnsi="Times New Roman"/>
                <w:szCs w:val="21"/>
              </w:rPr>
            </w:pPr>
            <w:r>
              <w:rPr>
                <w:rFonts w:ascii="Times New Roman" w:hAnsi="Times New Roman"/>
                <w:szCs w:val="21"/>
              </w:rPr>
              <w:t>果蔬制品加工</w:t>
            </w:r>
          </w:p>
          <w:p>
            <w:pPr>
              <w:tabs>
                <w:tab w:val="left" w:pos="9540"/>
              </w:tabs>
              <w:snapToGrid w:val="0"/>
              <w:rPr>
                <w:rFonts w:ascii="Times New Roman" w:hAnsi="Times New Roman"/>
                <w:szCs w:val="21"/>
              </w:rPr>
            </w:pPr>
            <w:r>
              <w:rPr>
                <w:rFonts w:ascii="Times New Roman" w:hAnsi="Times New Roman"/>
                <w:szCs w:val="21"/>
              </w:rPr>
              <w:t>肉制品加工</w:t>
            </w:r>
          </w:p>
          <w:p>
            <w:pPr>
              <w:tabs>
                <w:tab w:val="left" w:pos="9540"/>
              </w:tabs>
              <w:snapToGrid w:val="0"/>
              <w:rPr>
                <w:rFonts w:ascii="Times New Roman" w:hAnsi="Times New Roman"/>
                <w:szCs w:val="21"/>
              </w:rPr>
            </w:pPr>
            <w:r>
              <w:rPr>
                <w:rFonts w:ascii="Times New Roman" w:hAnsi="Times New Roman"/>
                <w:szCs w:val="21"/>
              </w:rPr>
              <w:t>乳品加工</w:t>
            </w:r>
          </w:p>
        </w:tc>
        <w:tc>
          <w:tcPr>
            <w:tcW w:w="2842" w:type="dxa"/>
            <w:gridSpan w:val="2"/>
            <w:vAlign w:val="center"/>
          </w:tcPr>
          <w:p>
            <w:pPr>
              <w:tabs>
                <w:tab w:val="left" w:pos="9540"/>
              </w:tabs>
              <w:snapToGrid w:val="0"/>
              <w:rPr>
                <w:rFonts w:ascii="Times New Roman" w:hAnsi="Times New Roman"/>
                <w:szCs w:val="21"/>
              </w:rPr>
            </w:pPr>
            <w:r>
              <w:rPr>
                <w:rFonts w:ascii="Times New Roman" w:hAnsi="Times New Roman"/>
                <w:szCs w:val="21"/>
              </w:rPr>
              <w:t>打蛋机</w:t>
            </w:r>
          </w:p>
        </w:tc>
        <w:tc>
          <w:tcPr>
            <w:tcW w:w="1829" w:type="dxa"/>
            <w:gridSpan w:val="3"/>
            <w:vAlign w:val="center"/>
          </w:tcPr>
          <w:p>
            <w:pPr>
              <w:tabs>
                <w:tab w:val="left" w:pos="9540"/>
              </w:tabs>
              <w:snapToGrid w:val="0"/>
              <w:jc w:val="center"/>
              <w:rPr>
                <w:rFonts w:ascii="Times New Roman" w:hAnsi="Times New Roman"/>
                <w:szCs w:val="21"/>
              </w:rPr>
            </w:pPr>
            <w:r>
              <w:rPr>
                <w:rFonts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42" w:type="dxa"/>
            <w:gridSpan w:val="2"/>
            <w:vAlign w:val="center"/>
          </w:tcPr>
          <w:p>
            <w:pPr>
              <w:tabs>
                <w:tab w:val="left" w:pos="9540"/>
              </w:tabs>
              <w:snapToGrid w:val="0"/>
              <w:rPr>
                <w:rFonts w:ascii="Times New Roman" w:hAnsi="Times New Roman"/>
                <w:szCs w:val="21"/>
              </w:rPr>
            </w:pPr>
            <w:r>
              <w:rPr>
                <w:rFonts w:ascii="Times New Roman" w:hAnsi="Times New Roman"/>
                <w:szCs w:val="21"/>
              </w:rPr>
              <w:t>和面机</w:t>
            </w:r>
          </w:p>
        </w:tc>
        <w:tc>
          <w:tcPr>
            <w:tcW w:w="1829" w:type="dxa"/>
            <w:gridSpan w:val="3"/>
            <w:vAlign w:val="center"/>
          </w:tcPr>
          <w:p>
            <w:pPr>
              <w:tabs>
                <w:tab w:val="left" w:pos="9540"/>
              </w:tabs>
              <w:snapToGri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42" w:type="dxa"/>
            <w:gridSpan w:val="2"/>
            <w:vAlign w:val="center"/>
          </w:tcPr>
          <w:p>
            <w:pPr>
              <w:tabs>
                <w:tab w:val="left" w:pos="9540"/>
              </w:tabs>
              <w:snapToGrid w:val="0"/>
              <w:rPr>
                <w:rFonts w:ascii="Times New Roman" w:hAnsi="Times New Roman"/>
                <w:szCs w:val="21"/>
              </w:rPr>
            </w:pPr>
            <w:r>
              <w:rPr>
                <w:rFonts w:ascii="Times New Roman" w:hAnsi="Times New Roman"/>
                <w:szCs w:val="21"/>
              </w:rPr>
              <w:t>电烤箱</w:t>
            </w:r>
          </w:p>
        </w:tc>
        <w:tc>
          <w:tcPr>
            <w:tcW w:w="1829" w:type="dxa"/>
            <w:gridSpan w:val="3"/>
            <w:vAlign w:val="center"/>
          </w:tcPr>
          <w:p>
            <w:pPr>
              <w:tabs>
                <w:tab w:val="left" w:pos="9540"/>
              </w:tabs>
              <w:snapToGrid w:val="0"/>
              <w:jc w:val="center"/>
              <w:rPr>
                <w:rFonts w:ascii="Times New Roman" w:hAnsi="Times New Roman"/>
                <w:szCs w:val="21"/>
              </w:rPr>
            </w:pPr>
            <w:r>
              <w:rPr>
                <w:rFonts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42" w:type="dxa"/>
            <w:gridSpan w:val="2"/>
            <w:vAlign w:val="center"/>
          </w:tcPr>
          <w:p>
            <w:pPr>
              <w:tabs>
                <w:tab w:val="left" w:pos="9540"/>
              </w:tabs>
              <w:snapToGrid w:val="0"/>
              <w:rPr>
                <w:rFonts w:ascii="Times New Roman" w:hAnsi="Times New Roman"/>
                <w:szCs w:val="21"/>
              </w:rPr>
            </w:pPr>
            <w:r>
              <w:rPr>
                <w:rFonts w:ascii="Times New Roman" w:hAnsi="Times New Roman"/>
                <w:szCs w:val="21"/>
              </w:rPr>
              <w:t>面包模具</w:t>
            </w:r>
          </w:p>
        </w:tc>
        <w:tc>
          <w:tcPr>
            <w:tcW w:w="1829" w:type="dxa"/>
            <w:gridSpan w:val="3"/>
            <w:vAlign w:val="center"/>
          </w:tcPr>
          <w:p>
            <w:pPr>
              <w:tabs>
                <w:tab w:val="left" w:pos="9540"/>
              </w:tabs>
              <w:snapToGrid w:val="0"/>
              <w:jc w:val="center"/>
              <w:rPr>
                <w:rFonts w:ascii="Times New Roman" w:hAnsi="Times New Roman"/>
                <w:szCs w:val="21"/>
              </w:rPr>
            </w:pPr>
            <w:r>
              <w:rPr>
                <w:rFonts w:ascii="Times New Roman" w:hAnsi="Times New Roman"/>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42" w:type="dxa"/>
            <w:gridSpan w:val="2"/>
            <w:vAlign w:val="center"/>
          </w:tcPr>
          <w:p>
            <w:pPr>
              <w:tabs>
                <w:tab w:val="left" w:pos="9540"/>
              </w:tabs>
              <w:snapToGrid w:val="0"/>
              <w:rPr>
                <w:rFonts w:ascii="Times New Roman" w:hAnsi="Times New Roman"/>
                <w:szCs w:val="21"/>
              </w:rPr>
            </w:pPr>
            <w:r>
              <w:rPr>
                <w:rFonts w:ascii="Times New Roman" w:hAnsi="Times New Roman"/>
                <w:szCs w:val="21"/>
              </w:rPr>
              <w:t>蛋糕模具</w:t>
            </w:r>
          </w:p>
        </w:tc>
        <w:tc>
          <w:tcPr>
            <w:tcW w:w="1829" w:type="dxa"/>
            <w:gridSpan w:val="3"/>
            <w:vAlign w:val="center"/>
          </w:tcPr>
          <w:p>
            <w:pPr>
              <w:tabs>
                <w:tab w:val="left" w:pos="9540"/>
              </w:tabs>
              <w:snapToGrid w:val="0"/>
              <w:jc w:val="center"/>
              <w:rPr>
                <w:rFonts w:ascii="Times New Roman" w:hAnsi="Times New Roman"/>
                <w:szCs w:val="21"/>
              </w:rPr>
            </w:pPr>
            <w:r>
              <w:rPr>
                <w:rFonts w:ascii="Times New Roman" w:hAnsi="Times New Roman"/>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42" w:type="dxa"/>
            <w:gridSpan w:val="2"/>
            <w:vAlign w:val="center"/>
          </w:tcPr>
          <w:p>
            <w:pPr>
              <w:tabs>
                <w:tab w:val="left" w:pos="9540"/>
              </w:tabs>
              <w:snapToGrid w:val="0"/>
              <w:rPr>
                <w:rFonts w:ascii="Times New Roman" w:hAnsi="Times New Roman"/>
                <w:szCs w:val="21"/>
              </w:rPr>
            </w:pPr>
            <w:r>
              <w:rPr>
                <w:rFonts w:ascii="Times New Roman" w:hAnsi="Times New Roman"/>
                <w:szCs w:val="21"/>
              </w:rPr>
              <w:t>饼干模具</w:t>
            </w:r>
          </w:p>
        </w:tc>
        <w:tc>
          <w:tcPr>
            <w:tcW w:w="1829" w:type="dxa"/>
            <w:gridSpan w:val="3"/>
            <w:vAlign w:val="center"/>
          </w:tcPr>
          <w:p>
            <w:pPr>
              <w:tabs>
                <w:tab w:val="left" w:pos="9540"/>
              </w:tabs>
              <w:snapToGrid w:val="0"/>
              <w:jc w:val="center"/>
              <w:rPr>
                <w:rFonts w:ascii="Times New Roman" w:hAnsi="Times New Roman"/>
                <w:szCs w:val="21"/>
              </w:rPr>
            </w:pPr>
            <w:r>
              <w:rPr>
                <w:rFonts w:ascii="Times New Roman" w:hAnsi="Times New Roman"/>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42" w:type="dxa"/>
            <w:gridSpan w:val="2"/>
            <w:vAlign w:val="center"/>
          </w:tcPr>
          <w:p>
            <w:pPr>
              <w:tabs>
                <w:tab w:val="left" w:pos="9540"/>
              </w:tabs>
              <w:snapToGrid w:val="0"/>
              <w:rPr>
                <w:rFonts w:ascii="Times New Roman" w:hAnsi="Times New Roman"/>
                <w:szCs w:val="21"/>
              </w:rPr>
            </w:pPr>
            <w:r>
              <w:rPr>
                <w:rFonts w:ascii="Times New Roman" w:hAnsi="Times New Roman"/>
                <w:szCs w:val="21"/>
              </w:rPr>
              <w:t>裱花嘴</w:t>
            </w:r>
          </w:p>
        </w:tc>
        <w:tc>
          <w:tcPr>
            <w:tcW w:w="1829" w:type="dxa"/>
            <w:gridSpan w:val="3"/>
            <w:vAlign w:val="center"/>
          </w:tcPr>
          <w:p>
            <w:pPr>
              <w:tabs>
                <w:tab w:val="left" w:pos="9540"/>
              </w:tabs>
              <w:snapToGrid w:val="0"/>
              <w:jc w:val="center"/>
              <w:rPr>
                <w:rFonts w:ascii="Times New Roman" w:hAnsi="Times New Roman"/>
                <w:szCs w:val="21"/>
              </w:rPr>
            </w:pPr>
            <w:r>
              <w:rPr>
                <w:rFonts w:ascii="Times New Roman" w:hAnsi="Times New Roman"/>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42" w:type="dxa"/>
            <w:gridSpan w:val="2"/>
            <w:vAlign w:val="center"/>
          </w:tcPr>
          <w:p>
            <w:pPr>
              <w:tabs>
                <w:tab w:val="left" w:pos="9540"/>
              </w:tabs>
              <w:snapToGrid w:val="0"/>
              <w:rPr>
                <w:rFonts w:ascii="Times New Roman" w:hAnsi="Times New Roman"/>
                <w:szCs w:val="21"/>
              </w:rPr>
            </w:pPr>
            <w:r>
              <w:rPr>
                <w:rFonts w:ascii="Times New Roman" w:hAnsi="Times New Roman"/>
                <w:szCs w:val="21"/>
              </w:rPr>
              <w:t>冰箱</w:t>
            </w:r>
          </w:p>
        </w:tc>
        <w:tc>
          <w:tcPr>
            <w:tcW w:w="1829" w:type="dxa"/>
            <w:gridSpan w:val="3"/>
            <w:vAlign w:val="center"/>
          </w:tcPr>
          <w:p>
            <w:pPr>
              <w:tabs>
                <w:tab w:val="left" w:pos="9540"/>
              </w:tabs>
              <w:snapToGrid w:val="0"/>
              <w:jc w:val="center"/>
              <w:rPr>
                <w:rFonts w:ascii="Times New Roman" w:hAnsi="Times New Roman"/>
                <w:szCs w:val="21"/>
              </w:rPr>
            </w:pPr>
            <w:r>
              <w:rPr>
                <w:rFonts w:ascii="Times New Roman" w:hAnsi="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42" w:type="dxa"/>
            <w:gridSpan w:val="2"/>
            <w:vAlign w:val="center"/>
          </w:tcPr>
          <w:p>
            <w:pPr>
              <w:tabs>
                <w:tab w:val="left" w:pos="9540"/>
              </w:tabs>
              <w:snapToGrid w:val="0"/>
              <w:rPr>
                <w:rFonts w:ascii="Times New Roman" w:hAnsi="Times New Roman"/>
                <w:szCs w:val="21"/>
              </w:rPr>
            </w:pPr>
            <w:r>
              <w:rPr>
                <w:rFonts w:ascii="Times New Roman" w:hAnsi="Times New Roman"/>
                <w:szCs w:val="21"/>
              </w:rPr>
              <w:t>打浆机</w:t>
            </w:r>
          </w:p>
        </w:tc>
        <w:tc>
          <w:tcPr>
            <w:tcW w:w="1829" w:type="dxa"/>
            <w:gridSpan w:val="3"/>
            <w:vAlign w:val="center"/>
          </w:tcPr>
          <w:p>
            <w:pPr>
              <w:tabs>
                <w:tab w:val="left" w:pos="9540"/>
              </w:tabs>
              <w:snapToGrid w:val="0"/>
              <w:jc w:val="center"/>
              <w:rPr>
                <w:rFonts w:ascii="Times New Roman" w:hAnsi="Times New Roman"/>
                <w:szCs w:val="21"/>
              </w:rPr>
            </w:pPr>
            <w:r>
              <w:rPr>
                <w:rFonts w:ascii="Times New Roman" w:hAnsi="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42" w:type="dxa"/>
            <w:gridSpan w:val="2"/>
            <w:vAlign w:val="center"/>
          </w:tcPr>
          <w:p>
            <w:pPr>
              <w:tabs>
                <w:tab w:val="left" w:pos="9540"/>
              </w:tabs>
              <w:snapToGrid w:val="0"/>
              <w:rPr>
                <w:rFonts w:ascii="Times New Roman" w:hAnsi="Times New Roman"/>
                <w:szCs w:val="21"/>
              </w:rPr>
            </w:pPr>
            <w:r>
              <w:rPr>
                <w:rFonts w:ascii="Times New Roman" w:hAnsi="Times New Roman"/>
                <w:szCs w:val="21"/>
              </w:rPr>
              <w:t>封口机</w:t>
            </w:r>
          </w:p>
        </w:tc>
        <w:tc>
          <w:tcPr>
            <w:tcW w:w="1829" w:type="dxa"/>
            <w:gridSpan w:val="3"/>
            <w:vAlign w:val="center"/>
          </w:tcPr>
          <w:p>
            <w:pPr>
              <w:tabs>
                <w:tab w:val="left" w:pos="9540"/>
              </w:tabs>
              <w:snapToGri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42" w:type="dxa"/>
            <w:gridSpan w:val="2"/>
            <w:vAlign w:val="center"/>
          </w:tcPr>
          <w:p>
            <w:pPr>
              <w:tabs>
                <w:tab w:val="left" w:pos="9540"/>
              </w:tabs>
              <w:snapToGrid w:val="0"/>
              <w:rPr>
                <w:rFonts w:ascii="Times New Roman" w:hAnsi="Times New Roman"/>
                <w:szCs w:val="21"/>
              </w:rPr>
            </w:pPr>
            <w:r>
              <w:rPr>
                <w:rFonts w:ascii="Times New Roman" w:hAnsi="Times New Roman"/>
                <w:szCs w:val="21"/>
              </w:rPr>
              <w:t>抽真空机</w:t>
            </w:r>
          </w:p>
        </w:tc>
        <w:tc>
          <w:tcPr>
            <w:tcW w:w="1829" w:type="dxa"/>
            <w:gridSpan w:val="3"/>
            <w:vAlign w:val="center"/>
          </w:tcPr>
          <w:p>
            <w:pPr>
              <w:tabs>
                <w:tab w:val="left" w:pos="9540"/>
              </w:tabs>
              <w:snapToGri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842" w:type="dxa"/>
            <w:gridSpan w:val="2"/>
            <w:tcBorders>
              <w:bottom w:val="single" w:color="auto" w:sz="4" w:space="0"/>
            </w:tcBorders>
            <w:vAlign w:val="center"/>
          </w:tcPr>
          <w:p>
            <w:pPr>
              <w:tabs>
                <w:tab w:val="left" w:pos="9540"/>
              </w:tabs>
              <w:snapToGrid w:val="0"/>
              <w:rPr>
                <w:rFonts w:ascii="Times New Roman" w:hAnsi="Times New Roman"/>
                <w:szCs w:val="21"/>
              </w:rPr>
            </w:pPr>
            <w:r>
              <w:rPr>
                <w:rFonts w:ascii="Times New Roman" w:hAnsi="Times New Roman"/>
                <w:szCs w:val="21"/>
              </w:rPr>
              <w:t>组织捣碎机</w:t>
            </w:r>
          </w:p>
        </w:tc>
        <w:tc>
          <w:tcPr>
            <w:tcW w:w="1829" w:type="dxa"/>
            <w:gridSpan w:val="3"/>
            <w:tcBorders>
              <w:bottom w:val="single" w:color="auto" w:sz="4" w:space="0"/>
            </w:tcBorders>
            <w:vAlign w:val="center"/>
          </w:tcPr>
          <w:p>
            <w:pPr>
              <w:tabs>
                <w:tab w:val="left" w:pos="9540"/>
              </w:tabs>
              <w:snapToGrid w:val="0"/>
              <w:jc w:val="center"/>
              <w:rPr>
                <w:rFonts w:ascii="Times New Roman" w:hAnsi="Times New Roman"/>
                <w:szCs w:val="21"/>
              </w:rPr>
            </w:pPr>
            <w:r>
              <w:rPr>
                <w:rFonts w:ascii="Times New Roman" w:hAnsi="Times New Roman"/>
                <w:szCs w:val="21"/>
              </w:rPr>
              <w:t>10</w:t>
            </w:r>
          </w:p>
        </w:tc>
      </w:tr>
    </w:tbl>
    <w:p>
      <w:pPr>
        <w:overflowPunct w:val="0"/>
        <w:adjustRightInd w:val="0"/>
        <w:ind w:firstLine="480" w:firstLineChars="200"/>
        <w:rPr>
          <w:rFonts w:ascii="Times New Roman" w:hAnsi="Times New Roman"/>
          <w:sz w:val="24"/>
          <w:szCs w:val="24"/>
        </w:rPr>
      </w:pPr>
      <w:r>
        <w:rPr>
          <w:rFonts w:ascii="Times New Roman" w:hAnsi="Times New Roman"/>
          <w:sz w:val="24"/>
          <w:szCs w:val="24"/>
        </w:rPr>
        <w:t>3．校外实训室基本要求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本专业具有稳定的校外实训基地15家，能够提供开展食品加工相关实践，实训设施齐备，实训岗位、实训指导教师确定，实训管理及实施规章制度齐全，能够满足学生校外实训的要求。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4．学生实习基地基本要求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具有稳定的校外实习基地，其实习范围涉及各类食品的加工与检测等。各实习企业均可接纳一定规模的学生安排顶岗实习，并配备了相应数量的指导教师对学生实习进行指导和管理。同时，各实习企业制定了学生日常工作、学习、生活以及安全的规章制度，保障了实习工作的顺利进行。</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5．支持信息化教学方面的基本要求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已参与国家级教学资源库“粮油检测技术”课程、省级教学资源库“焙烤食品加工技术”课程的建设，各教学资源已初步形成并上传智慧职教平台。同时依托超星学习通平台搭建了网络课程教学平台，通过平台完成学生课前预习、课中督学、课后对学生的检测、交流与问题答疑，专业教师在开发利用信息化教学资源的过程中不断创新教学方法，提升教学效果。</w:t>
      </w:r>
    </w:p>
    <w:p>
      <w:pPr>
        <w:overflowPunct w:val="0"/>
        <w:adjustRightInd w:val="0"/>
        <w:ind w:firstLine="480" w:firstLineChars="200"/>
        <w:rPr>
          <w:rFonts w:ascii="Times New Roman" w:hAnsi="Times New Roman"/>
          <w:bCs/>
          <w:sz w:val="24"/>
          <w:szCs w:val="24"/>
        </w:rPr>
      </w:pPr>
      <w:r>
        <w:rPr>
          <w:rFonts w:ascii="Times New Roman" w:hAnsi="Times New Roman"/>
          <w:bCs/>
          <w:sz w:val="24"/>
          <w:szCs w:val="24"/>
        </w:rPr>
        <w:t>（三）教学资源</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1．教材选用基本要求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按照国家规定选用优质教材，禁止不合格的教材进入课堂。学院建立了由专业教师、行业专家和教研人员等参与的教材选用机构，完善教材选用制度，经过规范程序择优选用教材。</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2．图书、文献配备基本要求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学院配有图书室和阅览室，能满足专业人才培养、专业建设、教科研等工作的需要，方便师生查询、借阅。本专业类图书主要包括：食品行业政策法规、有关食品标准手册、食品生产技术、食品加工机械、食品理化检验、食品国家安全标准等食品加工技术人员必备的技术资料，多种食品工业类专业学术期刊和有关食品加工的实务案例类图书。图书馆具有计算机网络系统或电子阅览服务，方便师生查询、借阅。</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3．数字资源配备基本要求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本专业通过多年建设，已配备了与本专业各课程有关教学课件、电子教案、试题库、虚拟动画、教学视频、数字教材等专业教学资源库，种类丰富、形式多样、使用便捷、动态更新、满足教学。</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（四）教学方法</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1．教学方法</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教师根据课程特点，在教学中主要采用了“任务驱动”、“项目导向”等多种形式的“做中学、做中教”教学模式。根据课程类型和性质运用“案例教学”、“情景教学”、“理实一体化教学”等多种教学方法，融“教、学、做、用”为一体，激发了学生学习兴趣，增强了学生的动手能力、发现问题、分析问题和解决问题的能力，提高教学质量。</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2．教学手段</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各课程均广泛采用多媒体教学课件辅助教学，将课程资源库中的资料应用到课堂教学中。课程中充分利用现代信息技术、仿真技术、网络技术，利用计算机专业软件、实训室的先进仪器设备和现代化网络技术等辅助教学，努力提高教学效果。</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3．教学组织形式</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以职业能力培养为教学目标，以职业核心技能训练为主线组织教学。实验、实训课程可根据实际条件实施班级教学或分组教学，可根据需要在理实一体化教室、专业实验实训室、生产性实训基地、企业生产现场组织教学。</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（五）学习评价</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1．学生在校期间必须修满规定的学分，完成顶岗实习与毕业设计（论文），通过实习总结、鉴定合格，取得相应的职业资格（技能）证书，方可毕业。</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针对不同课程特点应建立突出能力的多元（多种能力评价、多元评价方法、多元评价主体）考核评价体系，专业核心课程采用校内考核与社会化职业技能鉴定相结合的方式。校外顶岗实习等实践教学环节，以企业评价为主，学院评价为辅，突出对学生实习过程中表现出的工作能力和态度的评价。课程评价中采用学习过程记录、技能考核、成果展示等多种评价方式，考察学生完成课业的情况。</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（六）质量管理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一）学院和二级分院建立了专业建设和教学质量诊断与改进机制，健全了专业教学质量监控管理制度，完善了课堂教学、教学评价、实习实训、毕业设计以及专业调研、人才培养方案更新、资源建设等方面质量标准建设，通过教学实施、过程监控、质量评价和持续改进，达成人才培养规格。</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二）学院和二级分院进一步完善了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（三）学院建立了毕业生跟踪反馈机制及社会评价机制，并对生源情况、在校生学业水平、毕业生就业情况等进行分析，定期评价人才培养质量和培养目标达成情况。</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（四）食品专业教研组织充分利用评价分析结果有效改进专业教学，持续提高人才培养质量。</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九、毕业要求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毕业时学生应修完规定的所有课程，修满16</w:t>
      </w:r>
      <w:r>
        <w:rPr>
          <w:rFonts w:hint="eastAsia" w:ascii="Times New Roman" w:hAnsi="Times New Roman"/>
          <w:sz w:val="24"/>
          <w:szCs w:val="24"/>
          <w:lang w:val="en-US" w:eastAsia="zh-CN"/>
        </w:rPr>
        <w:t>4</w:t>
      </w:r>
      <w:r>
        <w:rPr>
          <w:rFonts w:ascii="Times New Roman" w:hAnsi="Times New Roman"/>
          <w:sz w:val="24"/>
          <w:szCs w:val="24"/>
        </w:rPr>
        <w:t>学分，并进行实践教学的训练，成绩合格，体育达标，思想品德合格，并具备以下条件：</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1．取得农产品食品检验员职业资格证书；</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2．取得国家计算机等级一级证书。</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十、附录</w:t>
      </w:r>
    </w:p>
    <w:p>
      <w:pPr>
        <w:overflowPunct w:val="0"/>
        <w:adjustRightInd w:val="0"/>
        <w:ind w:firstLine="562" w:firstLineChars="200"/>
        <w:jc w:val="center"/>
        <w:rPr>
          <w:rFonts w:ascii="Times New Roman" w:hAnsi="Times New Roman"/>
          <w:b/>
          <w:bCs/>
          <w:szCs w:val="21"/>
        </w:rPr>
      </w:pPr>
      <w:bookmarkStart w:id="3" w:name="_Toc16279"/>
      <w:bookmarkStart w:id="4" w:name="_Toc28163"/>
      <w:bookmarkStart w:id="5" w:name="_Toc18271"/>
      <w:bookmarkStart w:id="6" w:name="_Toc25648"/>
      <w:bookmarkStart w:id="7" w:name="_Toc354827591"/>
      <w:r>
        <w:rPr>
          <w:rFonts w:ascii="Times New Roman" w:hAnsi="Times New Roman"/>
          <w:b/>
          <w:bCs/>
          <w:sz w:val="28"/>
          <w:szCs w:val="28"/>
        </w:rPr>
        <w:br w:type="page"/>
      </w:r>
      <w:r>
        <w:rPr>
          <w:rFonts w:ascii="Times New Roman" w:hAnsi="Times New Roman"/>
          <w:b/>
          <w:bCs/>
          <w:szCs w:val="21"/>
        </w:rPr>
        <w:t>表八    食品质量与安全专业学分制教学进程表</w:t>
      </w:r>
      <w:bookmarkEnd w:id="3"/>
      <w:bookmarkEnd w:id="4"/>
      <w:bookmarkEnd w:id="5"/>
      <w:bookmarkEnd w:id="6"/>
      <w:bookmarkEnd w:id="7"/>
    </w:p>
    <w:tbl>
      <w:tblPr>
        <w:tblStyle w:val="8"/>
        <w:tblW w:w="11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406"/>
        <w:gridCol w:w="410"/>
        <w:gridCol w:w="685"/>
        <w:gridCol w:w="1184"/>
        <w:gridCol w:w="850"/>
        <w:gridCol w:w="699"/>
        <w:gridCol w:w="709"/>
        <w:gridCol w:w="567"/>
        <w:gridCol w:w="425"/>
        <w:gridCol w:w="425"/>
        <w:gridCol w:w="567"/>
        <w:gridCol w:w="709"/>
        <w:gridCol w:w="709"/>
        <w:gridCol w:w="708"/>
        <w:gridCol w:w="709"/>
        <w:gridCol w:w="709"/>
      </w:tblGrid>
      <w:tr>
        <w:tblPrEx>
          <w:tblCellMar>
            <w:top w:w="0" w:type="dxa"/>
            <w:left w:w="108" w:type="dxa"/>
            <w:bottom w:w="0" w:type="dxa"/>
            <w:right w:w="108" w:type="dxa"/>
          </w:tblCellMar>
        </w:tblPrEx>
        <w:trPr>
          <w:trHeight w:val="284" w:hRule="exact"/>
          <w:tblHeader/>
          <w:jc w:val="center"/>
        </w:trPr>
        <w:tc>
          <w:tcPr>
            <w:tcW w:w="982" w:type="dxa"/>
            <w:gridSpan w:val="2"/>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课程类别/性质</w:t>
            </w:r>
          </w:p>
        </w:tc>
        <w:tc>
          <w:tcPr>
            <w:tcW w:w="410"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序号</w:t>
            </w:r>
          </w:p>
        </w:tc>
        <w:tc>
          <w:tcPr>
            <w:tcW w:w="1869" w:type="dxa"/>
            <w:gridSpan w:val="2"/>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课程名称</w:t>
            </w:r>
          </w:p>
        </w:tc>
        <w:tc>
          <w:tcPr>
            <w:tcW w:w="850"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课程代码</w:t>
            </w:r>
          </w:p>
        </w:tc>
        <w:tc>
          <w:tcPr>
            <w:tcW w:w="699"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总学时数</w:t>
            </w:r>
          </w:p>
        </w:tc>
        <w:tc>
          <w:tcPr>
            <w:tcW w:w="709"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其中实践课时</w:t>
            </w:r>
          </w:p>
        </w:tc>
        <w:tc>
          <w:tcPr>
            <w:tcW w:w="567"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学分数</w:t>
            </w:r>
          </w:p>
        </w:tc>
        <w:tc>
          <w:tcPr>
            <w:tcW w:w="850" w:type="dxa"/>
            <w:gridSpan w:val="2"/>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考核方式</w:t>
            </w:r>
          </w:p>
        </w:tc>
        <w:tc>
          <w:tcPr>
            <w:tcW w:w="4111" w:type="dxa"/>
            <w:gridSpan w:val="6"/>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各学期设置与教学时间安排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Header/>
          <w:jc w:val="center"/>
        </w:trPr>
        <w:tc>
          <w:tcPr>
            <w:tcW w:w="982" w:type="dxa"/>
            <w:gridSpan w:val="2"/>
            <w:vMerge w:val="continue"/>
            <w:vAlign w:val="center"/>
          </w:tcPr>
          <w:p>
            <w:pPr>
              <w:widowControl/>
              <w:jc w:val="left"/>
              <w:rPr>
                <w:rFonts w:ascii="Times New Roman" w:hAnsi="Times New Roman"/>
                <w:color w:val="000000"/>
                <w:kern w:val="0"/>
                <w:sz w:val="18"/>
                <w:szCs w:val="18"/>
              </w:rPr>
            </w:pPr>
          </w:p>
        </w:tc>
        <w:tc>
          <w:tcPr>
            <w:tcW w:w="410" w:type="dxa"/>
            <w:vMerge w:val="continue"/>
            <w:vAlign w:val="center"/>
          </w:tcPr>
          <w:p>
            <w:pPr>
              <w:widowControl/>
              <w:jc w:val="left"/>
              <w:rPr>
                <w:rFonts w:ascii="Times New Roman" w:hAnsi="Times New Roman"/>
                <w:color w:val="000000"/>
                <w:kern w:val="0"/>
                <w:sz w:val="18"/>
                <w:szCs w:val="18"/>
              </w:rPr>
            </w:pPr>
          </w:p>
        </w:tc>
        <w:tc>
          <w:tcPr>
            <w:tcW w:w="1869" w:type="dxa"/>
            <w:gridSpan w:val="2"/>
            <w:vMerge w:val="continue"/>
            <w:vAlign w:val="center"/>
          </w:tcPr>
          <w:p>
            <w:pPr>
              <w:widowControl/>
              <w:jc w:val="left"/>
              <w:rPr>
                <w:rFonts w:ascii="Times New Roman" w:hAnsi="Times New Roman"/>
                <w:color w:val="000000"/>
                <w:kern w:val="0"/>
                <w:sz w:val="18"/>
                <w:szCs w:val="18"/>
              </w:rPr>
            </w:pPr>
          </w:p>
        </w:tc>
        <w:tc>
          <w:tcPr>
            <w:tcW w:w="850" w:type="dxa"/>
            <w:vMerge w:val="continue"/>
            <w:vAlign w:val="center"/>
          </w:tcPr>
          <w:p>
            <w:pPr>
              <w:widowControl/>
              <w:jc w:val="left"/>
              <w:rPr>
                <w:rFonts w:ascii="Times New Roman" w:hAnsi="Times New Roman"/>
                <w:color w:val="000000"/>
                <w:kern w:val="0"/>
                <w:sz w:val="18"/>
                <w:szCs w:val="18"/>
              </w:rPr>
            </w:pPr>
          </w:p>
        </w:tc>
        <w:tc>
          <w:tcPr>
            <w:tcW w:w="699" w:type="dxa"/>
            <w:vMerge w:val="continue"/>
            <w:vAlign w:val="center"/>
          </w:tcPr>
          <w:p>
            <w:pPr>
              <w:widowControl/>
              <w:jc w:val="left"/>
              <w:rPr>
                <w:rFonts w:ascii="Times New Roman" w:hAnsi="Times New Roman"/>
                <w:color w:val="000000"/>
                <w:kern w:val="0"/>
                <w:sz w:val="18"/>
                <w:szCs w:val="18"/>
              </w:rPr>
            </w:pPr>
          </w:p>
        </w:tc>
        <w:tc>
          <w:tcPr>
            <w:tcW w:w="709" w:type="dxa"/>
            <w:vMerge w:val="continue"/>
            <w:vAlign w:val="center"/>
          </w:tcPr>
          <w:p>
            <w:pPr>
              <w:widowControl/>
              <w:jc w:val="left"/>
              <w:rPr>
                <w:rFonts w:ascii="Times New Roman" w:hAnsi="Times New Roman"/>
                <w:color w:val="000000"/>
                <w:kern w:val="0"/>
                <w:sz w:val="18"/>
                <w:szCs w:val="18"/>
              </w:rPr>
            </w:pPr>
          </w:p>
        </w:tc>
        <w:tc>
          <w:tcPr>
            <w:tcW w:w="567" w:type="dxa"/>
            <w:vMerge w:val="continue"/>
            <w:vAlign w:val="center"/>
          </w:tcPr>
          <w:p>
            <w:pPr>
              <w:widowControl/>
              <w:jc w:val="left"/>
              <w:rPr>
                <w:rFonts w:ascii="Times New Roman" w:hAnsi="Times New Roman"/>
                <w:color w:val="000000"/>
                <w:kern w:val="0"/>
                <w:sz w:val="18"/>
                <w:szCs w:val="18"/>
              </w:rPr>
            </w:pPr>
          </w:p>
        </w:tc>
        <w:tc>
          <w:tcPr>
            <w:tcW w:w="425"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考试</w:t>
            </w:r>
          </w:p>
        </w:tc>
        <w:tc>
          <w:tcPr>
            <w:tcW w:w="425"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考查</w:t>
            </w:r>
          </w:p>
        </w:tc>
        <w:tc>
          <w:tcPr>
            <w:tcW w:w="1276" w:type="dxa"/>
            <w:gridSpan w:val="2"/>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第一学年</w:t>
            </w:r>
          </w:p>
        </w:tc>
        <w:tc>
          <w:tcPr>
            <w:tcW w:w="1417" w:type="dxa"/>
            <w:gridSpan w:val="2"/>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第二学年</w:t>
            </w:r>
          </w:p>
        </w:tc>
        <w:tc>
          <w:tcPr>
            <w:tcW w:w="1418" w:type="dxa"/>
            <w:gridSpan w:val="2"/>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Header/>
          <w:jc w:val="center"/>
        </w:trPr>
        <w:tc>
          <w:tcPr>
            <w:tcW w:w="982" w:type="dxa"/>
            <w:gridSpan w:val="2"/>
            <w:vMerge w:val="continue"/>
            <w:vAlign w:val="center"/>
          </w:tcPr>
          <w:p>
            <w:pPr>
              <w:widowControl/>
              <w:jc w:val="left"/>
              <w:rPr>
                <w:rFonts w:ascii="Times New Roman" w:hAnsi="Times New Roman"/>
                <w:color w:val="000000"/>
                <w:kern w:val="0"/>
                <w:sz w:val="18"/>
                <w:szCs w:val="18"/>
              </w:rPr>
            </w:pPr>
          </w:p>
        </w:tc>
        <w:tc>
          <w:tcPr>
            <w:tcW w:w="410" w:type="dxa"/>
            <w:vMerge w:val="continue"/>
            <w:vAlign w:val="center"/>
          </w:tcPr>
          <w:p>
            <w:pPr>
              <w:widowControl/>
              <w:jc w:val="left"/>
              <w:rPr>
                <w:rFonts w:ascii="Times New Roman" w:hAnsi="Times New Roman"/>
                <w:color w:val="000000"/>
                <w:kern w:val="0"/>
                <w:sz w:val="18"/>
                <w:szCs w:val="18"/>
              </w:rPr>
            </w:pPr>
          </w:p>
        </w:tc>
        <w:tc>
          <w:tcPr>
            <w:tcW w:w="1869" w:type="dxa"/>
            <w:gridSpan w:val="2"/>
            <w:vMerge w:val="continue"/>
            <w:vAlign w:val="center"/>
          </w:tcPr>
          <w:p>
            <w:pPr>
              <w:widowControl/>
              <w:jc w:val="left"/>
              <w:rPr>
                <w:rFonts w:ascii="Times New Roman" w:hAnsi="Times New Roman"/>
                <w:color w:val="000000"/>
                <w:kern w:val="0"/>
                <w:sz w:val="18"/>
                <w:szCs w:val="18"/>
              </w:rPr>
            </w:pPr>
          </w:p>
        </w:tc>
        <w:tc>
          <w:tcPr>
            <w:tcW w:w="850" w:type="dxa"/>
            <w:vMerge w:val="continue"/>
            <w:vAlign w:val="center"/>
          </w:tcPr>
          <w:p>
            <w:pPr>
              <w:widowControl/>
              <w:jc w:val="left"/>
              <w:rPr>
                <w:rFonts w:ascii="Times New Roman" w:hAnsi="Times New Roman"/>
                <w:color w:val="000000"/>
                <w:kern w:val="0"/>
                <w:sz w:val="18"/>
                <w:szCs w:val="18"/>
              </w:rPr>
            </w:pPr>
          </w:p>
        </w:tc>
        <w:tc>
          <w:tcPr>
            <w:tcW w:w="699" w:type="dxa"/>
            <w:vMerge w:val="continue"/>
            <w:vAlign w:val="center"/>
          </w:tcPr>
          <w:p>
            <w:pPr>
              <w:widowControl/>
              <w:jc w:val="left"/>
              <w:rPr>
                <w:rFonts w:ascii="Times New Roman" w:hAnsi="Times New Roman"/>
                <w:color w:val="000000"/>
                <w:kern w:val="0"/>
                <w:sz w:val="18"/>
                <w:szCs w:val="18"/>
              </w:rPr>
            </w:pPr>
          </w:p>
        </w:tc>
        <w:tc>
          <w:tcPr>
            <w:tcW w:w="709" w:type="dxa"/>
            <w:vMerge w:val="continue"/>
            <w:vAlign w:val="center"/>
          </w:tcPr>
          <w:p>
            <w:pPr>
              <w:widowControl/>
              <w:jc w:val="left"/>
              <w:rPr>
                <w:rFonts w:ascii="Times New Roman" w:hAnsi="Times New Roman"/>
                <w:color w:val="000000"/>
                <w:kern w:val="0"/>
                <w:sz w:val="18"/>
                <w:szCs w:val="18"/>
              </w:rPr>
            </w:pPr>
          </w:p>
        </w:tc>
        <w:tc>
          <w:tcPr>
            <w:tcW w:w="567" w:type="dxa"/>
            <w:vMerge w:val="continue"/>
            <w:vAlign w:val="center"/>
          </w:tcPr>
          <w:p>
            <w:pPr>
              <w:widowControl/>
              <w:jc w:val="left"/>
              <w:rPr>
                <w:rFonts w:ascii="Times New Roman" w:hAnsi="Times New Roman"/>
                <w:color w:val="000000"/>
                <w:kern w:val="0"/>
                <w:sz w:val="18"/>
                <w:szCs w:val="18"/>
              </w:rPr>
            </w:pPr>
          </w:p>
        </w:tc>
        <w:tc>
          <w:tcPr>
            <w:tcW w:w="425" w:type="dxa"/>
            <w:vMerge w:val="continue"/>
            <w:vAlign w:val="center"/>
          </w:tcPr>
          <w:p>
            <w:pPr>
              <w:widowControl/>
              <w:jc w:val="left"/>
              <w:rPr>
                <w:rFonts w:ascii="Times New Roman" w:hAnsi="Times New Roman"/>
                <w:color w:val="000000"/>
                <w:kern w:val="0"/>
                <w:sz w:val="18"/>
                <w:szCs w:val="18"/>
              </w:rPr>
            </w:pPr>
          </w:p>
        </w:tc>
        <w:tc>
          <w:tcPr>
            <w:tcW w:w="425" w:type="dxa"/>
            <w:vMerge w:val="continue"/>
            <w:vAlign w:val="center"/>
          </w:tcPr>
          <w:p>
            <w:pPr>
              <w:widowControl/>
              <w:jc w:val="left"/>
              <w:rPr>
                <w:rFonts w:ascii="Times New Roman" w:hAnsi="Times New Roman"/>
                <w:color w:val="000000"/>
                <w:kern w:val="0"/>
                <w:sz w:val="18"/>
                <w:szCs w:val="18"/>
              </w:rPr>
            </w:pP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一</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二</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三</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四</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五</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Header/>
          <w:jc w:val="center"/>
        </w:trPr>
        <w:tc>
          <w:tcPr>
            <w:tcW w:w="982" w:type="dxa"/>
            <w:gridSpan w:val="2"/>
            <w:vMerge w:val="continue"/>
            <w:vAlign w:val="center"/>
          </w:tcPr>
          <w:p>
            <w:pPr>
              <w:widowControl/>
              <w:jc w:val="left"/>
              <w:rPr>
                <w:rFonts w:ascii="Times New Roman" w:hAnsi="Times New Roman"/>
                <w:color w:val="000000"/>
                <w:kern w:val="0"/>
                <w:sz w:val="18"/>
                <w:szCs w:val="18"/>
              </w:rPr>
            </w:pPr>
          </w:p>
        </w:tc>
        <w:tc>
          <w:tcPr>
            <w:tcW w:w="410" w:type="dxa"/>
            <w:vMerge w:val="continue"/>
            <w:vAlign w:val="center"/>
          </w:tcPr>
          <w:p>
            <w:pPr>
              <w:widowControl/>
              <w:jc w:val="left"/>
              <w:rPr>
                <w:rFonts w:ascii="Times New Roman" w:hAnsi="Times New Roman"/>
                <w:color w:val="000000"/>
                <w:kern w:val="0"/>
                <w:sz w:val="18"/>
                <w:szCs w:val="18"/>
              </w:rPr>
            </w:pPr>
          </w:p>
        </w:tc>
        <w:tc>
          <w:tcPr>
            <w:tcW w:w="1869" w:type="dxa"/>
            <w:gridSpan w:val="2"/>
            <w:vMerge w:val="continue"/>
            <w:vAlign w:val="center"/>
          </w:tcPr>
          <w:p>
            <w:pPr>
              <w:widowControl/>
              <w:jc w:val="left"/>
              <w:rPr>
                <w:rFonts w:ascii="Times New Roman" w:hAnsi="Times New Roman"/>
                <w:color w:val="000000"/>
                <w:kern w:val="0"/>
                <w:sz w:val="18"/>
                <w:szCs w:val="18"/>
              </w:rPr>
            </w:pPr>
          </w:p>
        </w:tc>
        <w:tc>
          <w:tcPr>
            <w:tcW w:w="850" w:type="dxa"/>
            <w:vMerge w:val="continue"/>
            <w:vAlign w:val="center"/>
          </w:tcPr>
          <w:p>
            <w:pPr>
              <w:widowControl/>
              <w:jc w:val="left"/>
              <w:rPr>
                <w:rFonts w:ascii="Times New Roman" w:hAnsi="Times New Roman"/>
                <w:color w:val="000000"/>
                <w:kern w:val="0"/>
                <w:sz w:val="18"/>
                <w:szCs w:val="18"/>
              </w:rPr>
            </w:pPr>
          </w:p>
        </w:tc>
        <w:tc>
          <w:tcPr>
            <w:tcW w:w="699" w:type="dxa"/>
            <w:vMerge w:val="continue"/>
            <w:vAlign w:val="center"/>
          </w:tcPr>
          <w:p>
            <w:pPr>
              <w:widowControl/>
              <w:jc w:val="left"/>
              <w:rPr>
                <w:rFonts w:ascii="Times New Roman" w:hAnsi="Times New Roman"/>
                <w:color w:val="000000"/>
                <w:kern w:val="0"/>
                <w:sz w:val="18"/>
                <w:szCs w:val="18"/>
              </w:rPr>
            </w:pPr>
          </w:p>
        </w:tc>
        <w:tc>
          <w:tcPr>
            <w:tcW w:w="709" w:type="dxa"/>
            <w:vMerge w:val="continue"/>
            <w:vAlign w:val="center"/>
          </w:tcPr>
          <w:p>
            <w:pPr>
              <w:widowControl/>
              <w:jc w:val="left"/>
              <w:rPr>
                <w:rFonts w:ascii="Times New Roman" w:hAnsi="Times New Roman"/>
                <w:color w:val="000000"/>
                <w:kern w:val="0"/>
                <w:sz w:val="18"/>
                <w:szCs w:val="18"/>
              </w:rPr>
            </w:pPr>
          </w:p>
        </w:tc>
        <w:tc>
          <w:tcPr>
            <w:tcW w:w="567" w:type="dxa"/>
            <w:vMerge w:val="continue"/>
            <w:vAlign w:val="center"/>
          </w:tcPr>
          <w:p>
            <w:pPr>
              <w:widowControl/>
              <w:jc w:val="left"/>
              <w:rPr>
                <w:rFonts w:ascii="Times New Roman" w:hAnsi="Times New Roman"/>
                <w:color w:val="000000"/>
                <w:kern w:val="0"/>
                <w:sz w:val="18"/>
                <w:szCs w:val="18"/>
              </w:rPr>
            </w:pPr>
          </w:p>
        </w:tc>
        <w:tc>
          <w:tcPr>
            <w:tcW w:w="425" w:type="dxa"/>
            <w:vMerge w:val="continue"/>
            <w:vAlign w:val="center"/>
          </w:tcPr>
          <w:p>
            <w:pPr>
              <w:widowControl/>
              <w:jc w:val="left"/>
              <w:rPr>
                <w:rFonts w:ascii="Times New Roman" w:hAnsi="Times New Roman"/>
                <w:color w:val="000000"/>
                <w:kern w:val="0"/>
                <w:sz w:val="18"/>
                <w:szCs w:val="18"/>
              </w:rPr>
            </w:pPr>
          </w:p>
        </w:tc>
        <w:tc>
          <w:tcPr>
            <w:tcW w:w="425" w:type="dxa"/>
            <w:vMerge w:val="continue"/>
            <w:vAlign w:val="center"/>
          </w:tcPr>
          <w:p>
            <w:pPr>
              <w:widowControl/>
              <w:jc w:val="left"/>
              <w:rPr>
                <w:rFonts w:ascii="Times New Roman" w:hAnsi="Times New Roman"/>
                <w:color w:val="000000"/>
                <w:kern w:val="0"/>
                <w:sz w:val="18"/>
                <w:szCs w:val="18"/>
              </w:rPr>
            </w:pP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16</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7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公共基础课</w:t>
            </w:r>
          </w:p>
        </w:tc>
        <w:tc>
          <w:tcPr>
            <w:tcW w:w="40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公共必修课　</w:t>
            </w: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思想道德修养与法律基础</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6101101</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1869" w:type="dxa"/>
            <w:gridSpan w:val="2"/>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新疆地方史</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6101102</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毛泽东思想和中国特色社会主义理论体系概论1</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6101103</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毛泽东思想和中国特色社会主义理论体系概论2</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6101104</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5</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形势与政策1</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6101105</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形势与政策2</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6101106</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形势与政策3</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6101107</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p>
        </w:tc>
        <w:tc>
          <w:tcPr>
            <w:tcW w:w="709" w:type="dxa"/>
            <w:shd w:val="clear" w:color="auto" w:fill="auto"/>
            <w:vAlign w:val="center"/>
          </w:tcPr>
          <w:p>
            <w:pPr>
              <w:widowControl/>
              <w:jc w:val="center"/>
              <w:rPr>
                <w:rFonts w:ascii="Times New Roman" w:hAnsi="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8</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形势与政策4</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6101108</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体育1</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6101115</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体育2</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6101116</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11</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体育3</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6101117</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12</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体育4</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6101118</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13</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大学生心理健康教育</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6101128</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2M5</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14</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军训</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7101101</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98</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60</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15</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英语1</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6101110</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英语2</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6101111</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r>
              <w:rPr>
                <w:rFonts w:hint="eastAsia" w:ascii="宋体" w:hAnsi="宋体"/>
                <w:sz w:val="18"/>
                <w:szCs w:val="18"/>
              </w:rPr>
              <w:t>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17</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高等数学</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6101114</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计算机办公软件应用</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6101121</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19</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应用文写作</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6101126</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20</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创业教育与就业指导</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6101122</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38</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21</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中华优秀传统文化</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6000140</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22</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美育</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6000141</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23</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劳育</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6000143</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24</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职业素养</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6000142</w:t>
            </w:r>
          </w:p>
        </w:tc>
        <w:tc>
          <w:tcPr>
            <w:tcW w:w="699" w:type="dxa"/>
            <w:shd w:val="clear" w:color="auto" w:fill="auto"/>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709" w:type="dxa"/>
            <w:shd w:val="clear" w:color="auto" w:fill="auto"/>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567" w:type="dxa"/>
            <w:shd w:val="clear" w:color="auto" w:fill="auto"/>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3535"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公共基础课小计</w:t>
            </w:r>
          </w:p>
        </w:tc>
        <w:tc>
          <w:tcPr>
            <w:tcW w:w="699" w:type="dxa"/>
            <w:shd w:val="clear" w:color="auto" w:fill="auto"/>
            <w:vAlign w:val="center"/>
          </w:tcPr>
          <w:p>
            <w:pPr>
              <w:widowControl/>
              <w:jc w:val="center"/>
              <w:rPr>
                <w:rFonts w:hint="default" w:ascii="Times New Roman" w:hAnsi="Times New Roman" w:eastAsia="宋体"/>
                <w:color w:val="000000"/>
                <w:kern w:val="0"/>
                <w:sz w:val="18"/>
                <w:szCs w:val="18"/>
                <w:lang w:val="en-US" w:eastAsia="zh-CN"/>
              </w:rPr>
            </w:pPr>
            <w:r>
              <w:rPr>
                <w:rFonts w:hint="eastAsia" w:ascii="Times New Roman" w:hAnsi="Times New Roman"/>
                <w:color w:val="000000"/>
                <w:sz w:val="18"/>
                <w:szCs w:val="18"/>
                <w:lang w:val="en-US" w:eastAsia="zh-CN"/>
              </w:rPr>
              <w:t>860</w:t>
            </w:r>
          </w:p>
        </w:tc>
        <w:tc>
          <w:tcPr>
            <w:tcW w:w="709" w:type="dxa"/>
            <w:shd w:val="clear" w:color="auto" w:fill="auto"/>
            <w:vAlign w:val="center"/>
          </w:tcPr>
          <w:p>
            <w:pPr>
              <w:jc w:val="center"/>
              <w:rPr>
                <w:rFonts w:hint="default" w:ascii="Times New Roman" w:hAnsi="Times New Roman" w:eastAsia="宋体"/>
                <w:color w:val="000000"/>
                <w:sz w:val="18"/>
                <w:szCs w:val="18"/>
                <w:lang w:val="en-US" w:eastAsia="zh-CN"/>
              </w:rPr>
            </w:pPr>
            <w:r>
              <w:rPr>
                <w:rFonts w:ascii="Times New Roman" w:hAnsi="Times New Roman"/>
                <w:color w:val="000000"/>
                <w:sz w:val="18"/>
                <w:szCs w:val="18"/>
              </w:rPr>
              <w:t>3</w:t>
            </w:r>
            <w:r>
              <w:rPr>
                <w:rFonts w:hint="eastAsia" w:ascii="Times New Roman" w:hAnsi="Times New Roman"/>
                <w:color w:val="000000"/>
                <w:sz w:val="18"/>
                <w:szCs w:val="18"/>
                <w:lang w:val="en-US" w:eastAsia="zh-CN"/>
              </w:rPr>
              <w:t>32</w:t>
            </w:r>
          </w:p>
        </w:tc>
        <w:tc>
          <w:tcPr>
            <w:tcW w:w="567" w:type="dxa"/>
            <w:shd w:val="clear" w:color="auto" w:fill="auto"/>
            <w:vAlign w:val="center"/>
          </w:tcPr>
          <w:p>
            <w:pPr>
              <w:jc w:val="center"/>
              <w:rPr>
                <w:rFonts w:hint="eastAsia" w:ascii="Times New Roman" w:hAnsi="Times New Roman" w:eastAsia="宋体"/>
                <w:color w:val="000000"/>
                <w:sz w:val="18"/>
                <w:szCs w:val="18"/>
                <w:lang w:eastAsia="zh-CN"/>
              </w:rPr>
            </w:pPr>
            <w:r>
              <w:rPr>
                <w:rFonts w:ascii="Times New Roman" w:hAnsi="Times New Roman"/>
                <w:color w:val="000000"/>
                <w:sz w:val="18"/>
                <w:szCs w:val="18"/>
              </w:rPr>
              <w:t>3</w:t>
            </w:r>
            <w:r>
              <w:rPr>
                <w:rFonts w:hint="eastAsia" w:ascii="Times New Roman" w:hAnsi="Times New Roman"/>
                <w:color w:val="000000"/>
                <w:sz w:val="18"/>
                <w:szCs w:val="18"/>
                <w:lang w:val="en-US" w:eastAsia="zh-CN"/>
              </w:rPr>
              <w:t>8</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专业（技能）课</w:t>
            </w:r>
          </w:p>
        </w:tc>
        <w:tc>
          <w:tcPr>
            <w:tcW w:w="40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专业一般课</w:t>
            </w: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25</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分析化学</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2213202</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96</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425" w:type="dxa"/>
            <w:shd w:val="clear" w:color="auto" w:fill="auto"/>
            <w:noWrap/>
            <w:vAlign w:val="center"/>
          </w:tcPr>
          <w:p>
            <w:pPr>
              <w:jc w:val="left"/>
              <w:rPr>
                <w:rFonts w:ascii="Times New Roman" w:hAnsi="Times New Roman"/>
                <w:color w:val="000000"/>
                <w:sz w:val="22"/>
              </w:rPr>
            </w:pPr>
            <w:r>
              <w:rPr>
                <w:rFonts w:ascii="Times New Roman" w:hAnsi="Times New Roman"/>
                <w:color w:val="000000"/>
                <w:sz w:val="22"/>
              </w:rPr>
              <w:t>　</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26</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食品生物化学</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2212306</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64</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425" w:type="dxa"/>
            <w:shd w:val="clear" w:color="auto" w:fill="auto"/>
            <w:noWrap/>
            <w:vAlign w:val="center"/>
          </w:tcPr>
          <w:p>
            <w:pPr>
              <w:jc w:val="left"/>
              <w:rPr>
                <w:rFonts w:ascii="Times New Roman" w:hAnsi="Times New Roman"/>
                <w:color w:val="000000"/>
                <w:sz w:val="22"/>
              </w:rPr>
            </w:pPr>
            <w:r>
              <w:rPr>
                <w:rFonts w:ascii="Times New Roman" w:hAnsi="Times New Roman"/>
                <w:color w:val="000000"/>
                <w:sz w:val="22"/>
              </w:rPr>
              <w:t>　</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27</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食品机械与设备</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2210205</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68</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noWrap/>
            <w:vAlign w:val="center"/>
          </w:tcPr>
          <w:p>
            <w:pPr>
              <w:jc w:val="center"/>
              <w:rPr>
                <w:rFonts w:ascii="Times New Roman" w:hAnsi="Times New Roman"/>
                <w:color w:val="000000"/>
                <w:sz w:val="18"/>
                <w:szCs w:val="18"/>
              </w:rPr>
            </w:pP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p>
        </w:tc>
        <w:tc>
          <w:tcPr>
            <w:tcW w:w="709" w:type="dxa"/>
            <w:shd w:val="clear" w:color="auto" w:fill="auto"/>
            <w:vAlign w:val="bottom"/>
          </w:tcPr>
          <w:p>
            <w:pPr>
              <w:jc w:val="left"/>
              <w:rPr>
                <w:rFonts w:ascii="Times New Roman" w:hAnsi="Times New Roman"/>
                <w:color w:val="000000"/>
                <w:sz w:val="22"/>
              </w:rPr>
            </w:pPr>
            <w:r>
              <w:rPr>
                <w:rFonts w:ascii="Times New Roman" w:hAnsi="Times New Roman"/>
                <w:color w:val="000000"/>
                <w:sz w:val="18"/>
                <w:szCs w:val="18"/>
              </w:rPr>
              <w:t>4F17</w:t>
            </w:r>
            <w:r>
              <w:rPr>
                <w:rFonts w:ascii="Times New Roman" w:hAnsi="Times New Roman"/>
                <w:color w:val="000000"/>
                <w:sz w:val="22"/>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28</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食品专业英语</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2214203</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2F16</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29</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食品营养与健康</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2210206</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68</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12</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425" w:type="dxa"/>
            <w:shd w:val="clear" w:color="auto" w:fill="auto"/>
            <w:noWrap/>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4F17</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30</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食品添加剂</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2214303</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64</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425" w:type="dxa"/>
            <w:shd w:val="clear" w:color="auto" w:fill="auto"/>
            <w:noWrap/>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4F16</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hint="eastAsia" w:ascii="Times New Roman" w:hAnsi="Times New Roman" w:eastAsia="宋体"/>
                <w:color w:val="000000"/>
                <w:sz w:val="18"/>
                <w:szCs w:val="18"/>
                <w:lang w:eastAsia="zh-CN"/>
              </w:rPr>
            </w:pPr>
            <w:r>
              <w:rPr>
                <w:rFonts w:ascii="Times New Roman" w:hAnsi="Times New Roman"/>
                <w:color w:val="000000"/>
                <w:sz w:val="18"/>
                <w:szCs w:val="18"/>
              </w:rPr>
              <w:t>3</w:t>
            </w:r>
            <w:r>
              <w:rPr>
                <w:rFonts w:hint="eastAsia" w:ascii="Times New Roman" w:hAnsi="Times New Roman"/>
                <w:color w:val="000000"/>
                <w:sz w:val="18"/>
                <w:szCs w:val="18"/>
                <w:lang w:val="en-US" w:eastAsia="zh-CN"/>
              </w:rPr>
              <w:t>1</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食品掺伪鉴别检验</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2214302</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64</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noWrap/>
            <w:vAlign w:val="center"/>
          </w:tcPr>
          <w:p>
            <w:pPr>
              <w:jc w:val="center"/>
              <w:rPr>
                <w:rFonts w:ascii="Times New Roman" w:hAnsi="Times New Roman"/>
                <w:color w:val="000000"/>
                <w:sz w:val="18"/>
                <w:szCs w:val="18"/>
              </w:rPr>
            </w:pPr>
          </w:p>
        </w:tc>
        <w:tc>
          <w:tcPr>
            <w:tcW w:w="567"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bottom"/>
          </w:tcPr>
          <w:p>
            <w:pPr>
              <w:rPr>
                <w:rFonts w:ascii="Times New Roman" w:hAnsi="Times New Roman"/>
                <w:color w:val="000000"/>
                <w:sz w:val="22"/>
              </w:rPr>
            </w:pPr>
            <w:r>
              <w:rPr>
                <w:rFonts w:ascii="Times New Roman" w:hAnsi="Times New Roman"/>
                <w:color w:val="000000"/>
                <w:sz w:val="22"/>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4F16</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3535"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专业一般课程小计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456</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27</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restart"/>
            <w:shd w:val="clear" w:color="auto" w:fill="auto"/>
            <w:vAlign w:val="center"/>
          </w:tcPr>
          <w:p>
            <w:pPr>
              <w:jc w:val="center"/>
              <w:rPr>
                <w:rFonts w:ascii="Times New Roman" w:hAnsi="Times New Roman"/>
                <w:color w:val="000000"/>
                <w:kern w:val="0"/>
                <w:sz w:val="18"/>
                <w:szCs w:val="18"/>
              </w:rPr>
            </w:pPr>
            <w:r>
              <w:rPr>
                <w:rFonts w:ascii="Times New Roman" w:hAnsi="Times New Roman"/>
                <w:color w:val="000000"/>
                <w:kern w:val="0"/>
                <w:sz w:val="18"/>
                <w:szCs w:val="18"/>
              </w:rPr>
              <w:t>专业（技能）课</w:t>
            </w:r>
          </w:p>
        </w:tc>
        <w:tc>
          <w:tcPr>
            <w:tcW w:w="40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专业核心课</w:t>
            </w: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32</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食品理化检验与分析</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2210307</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102</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6F17</w:t>
            </w:r>
          </w:p>
        </w:tc>
        <w:tc>
          <w:tcPr>
            <w:tcW w:w="709"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33</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食品微生物检测技术</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2210202</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96</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709" w:type="dxa"/>
            <w:shd w:val="clear" w:color="auto" w:fill="auto"/>
            <w:noWrap/>
            <w:vAlign w:val="bottom"/>
          </w:tcPr>
          <w:p>
            <w:pPr>
              <w:jc w:val="left"/>
              <w:rPr>
                <w:rFonts w:ascii="Times New Roman" w:hAnsi="Times New Roman"/>
                <w:color w:val="000000"/>
                <w:sz w:val="20"/>
                <w:szCs w:val="20"/>
              </w:rPr>
            </w:pPr>
            <w:r>
              <w:rPr>
                <w:rFonts w:ascii="Times New Roman" w:hAnsi="Times New Roman"/>
                <w:color w:val="000000"/>
                <w:sz w:val="20"/>
                <w:szCs w:val="20"/>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34</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食品仪器分析技术</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2213203</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84</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6L14</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35</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食品感官检测技术</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2214301</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84</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6L14</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36</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食品加工技术</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kern w:val="0"/>
                <w:sz w:val="18"/>
                <w:szCs w:val="18"/>
              </w:rPr>
              <w:t>2211206</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56</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425" w:type="dxa"/>
            <w:shd w:val="clear" w:color="auto" w:fill="auto"/>
            <w:vAlign w:val="center"/>
          </w:tcPr>
          <w:p>
            <w:pPr>
              <w:jc w:val="left"/>
              <w:rPr>
                <w:rFonts w:ascii="Times New Roman" w:hAnsi="Times New Roman"/>
                <w:color w:val="000000"/>
                <w:sz w:val="22"/>
              </w:rPr>
            </w:pPr>
            <w:r>
              <w:rPr>
                <w:rFonts w:ascii="Times New Roman" w:hAnsi="Times New Roman"/>
                <w:color w:val="000000"/>
                <w:sz w:val="22"/>
              </w:rPr>
              <w:t>　</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4L14　</w:t>
            </w:r>
          </w:p>
        </w:tc>
        <w:tc>
          <w:tcPr>
            <w:tcW w:w="708" w:type="dxa"/>
            <w:shd w:val="clear" w:color="auto" w:fill="auto"/>
            <w:vAlign w:val="bottom"/>
          </w:tcPr>
          <w:p>
            <w:pPr>
              <w:jc w:val="left"/>
              <w:rPr>
                <w:rFonts w:ascii="Times New Roman" w:hAnsi="Times New Roman"/>
                <w:color w:val="000000"/>
                <w:sz w:val="22"/>
              </w:rPr>
            </w:pPr>
            <w:r>
              <w:rPr>
                <w:rFonts w:ascii="Times New Roman" w:hAnsi="Times New Roman"/>
                <w:color w:val="000000"/>
                <w:sz w:val="22"/>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sz w:val="18"/>
                <w:szCs w:val="18"/>
              </w:rPr>
              <w:t>37</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食品安全与质量管理</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2210207</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64</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12</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4F16</w:t>
            </w:r>
          </w:p>
        </w:tc>
        <w:tc>
          <w:tcPr>
            <w:tcW w:w="709"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hint="default" w:ascii="Times New Roman" w:hAnsi="Times New Roman" w:eastAsia="宋体"/>
                <w:color w:val="000000"/>
                <w:kern w:val="0"/>
                <w:sz w:val="18"/>
                <w:szCs w:val="18"/>
                <w:lang w:val="en-US" w:eastAsia="zh-CN"/>
              </w:rPr>
            </w:pPr>
            <w:r>
              <w:rPr>
                <w:rFonts w:hint="eastAsia" w:ascii="Times New Roman" w:hAnsi="Times New Roman"/>
                <w:color w:val="000000"/>
                <w:sz w:val="18"/>
                <w:szCs w:val="18"/>
                <w:lang w:val="en-US" w:eastAsia="zh-CN"/>
              </w:rPr>
              <w:t>38</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食品标准与法规</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2216201</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64</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4F16</w:t>
            </w:r>
          </w:p>
        </w:tc>
        <w:tc>
          <w:tcPr>
            <w:tcW w:w="709"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3535"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专业核心课小计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550</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162</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576" w:type="dxa"/>
            <w:vMerge w:val="continue"/>
            <w:shd w:val="clear" w:color="auto" w:fill="auto"/>
            <w:vAlign w:val="center"/>
          </w:tcPr>
          <w:p>
            <w:pPr>
              <w:widowControl/>
              <w:jc w:val="center"/>
              <w:rPr>
                <w:rFonts w:ascii="Times New Roman" w:hAnsi="Times New Roman"/>
                <w:color w:val="000000"/>
                <w:kern w:val="0"/>
                <w:sz w:val="18"/>
                <w:szCs w:val="18"/>
              </w:rPr>
            </w:pPr>
          </w:p>
        </w:tc>
        <w:tc>
          <w:tcPr>
            <w:tcW w:w="40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专业技能方向课</w:t>
            </w: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sz w:val="18"/>
                <w:szCs w:val="18"/>
              </w:rPr>
              <w:t>39</w:t>
            </w:r>
          </w:p>
        </w:tc>
        <w:tc>
          <w:tcPr>
            <w:tcW w:w="685" w:type="dxa"/>
            <w:vMerge w:val="restart"/>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模块一食品质量管理方向*</w:t>
            </w:r>
          </w:p>
        </w:tc>
        <w:tc>
          <w:tcPr>
            <w:tcW w:w="1184"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食品企业管理</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2216301</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28</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2L14</w:t>
            </w:r>
          </w:p>
        </w:tc>
        <w:tc>
          <w:tcPr>
            <w:tcW w:w="708" w:type="dxa"/>
            <w:shd w:val="clear" w:color="auto" w:fill="auto"/>
            <w:vAlign w:val="bottom"/>
          </w:tcPr>
          <w:p>
            <w:pPr>
              <w:jc w:val="left"/>
              <w:rPr>
                <w:rFonts w:ascii="Times New Roman" w:hAnsi="Times New Roman"/>
                <w:color w:val="000000"/>
                <w:sz w:val="22"/>
              </w:rPr>
            </w:pPr>
            <w:r>
              <w:rPr>
                <w:rFonts w:ascii="Times New Roman" w:hAnsi="Times New Roman"/>
                <w:color w:val="000000"/>
                <w:sz w:val="22"/>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sz w:val="18"/>
                <w:szCs w:val="18"/>
              </w:rPr>
              <w:t>40</w:t>
            </w:r>
          </w:p>
        </w:tc>
        <w:tc>
          <w:tcPr>
            <w:tcW w:w="685" w:type="dxa"/>
            <w:vMerge w:val="continue"/>
            <w:vAlign w:val="center"/>
          </w:tcPr>
          <w:p>
            <w:pPr>
              <w:widowControl/>
              <w:jc w:val="left"/>
              <w:rPr>
                <w:rFonts w:ascii="Times New Roman" w:hAnsi="Times New Roman"/>
                <w:color w:val="000000"/>
                <w:kern w:val="0"/>
                <w:sz w:val="18"/>
                <w:szCs w:val="18"/>
              </w:rPr>
            </w:pPr>
          </w:p>
        </w:tc>
        <w:tc>
          <w:tcPr>
            <w:tcW w:w="1184"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sz w:val="18"/>
                <w:szCs w:val="18"/>
              </w:rPr>
              <w:t>食品工厂设计</w:t>
            </w:r>
          </w:p>
        </w:tc>
        <w:tc>
          <w:tcPr>
            <w:tcW w:w="850" w:type="dxa"/>
            <w:shd w:val="clear" w:color="auto" w:fill="auto"/>
            <w:vAlign w:val="center"/>
          </w:tcPr>
          <w:p>
            <w:pPr>
              <w:widowControl/>
              <w:jc w:val="center"/>
              <w:textAlignment w:val="center"/>
              <w:rPr>
                <w:rFonts w:ascii="Times New Roman" w:hAnsi="Times New Roman"/>
                <w:color w:val="000000"/>
                <w:kern w:val="0"/>
                <w:sz w:val="18"/>
                <w:szCs w:val="18"/>
                <w:lang w:bidi="ar"/>
              </w:rPr>
            </w:pPr>
            <w:r>
              <w:rPr>
                <w:rFonts w:ascii="Times New Roman" w:hAnsi="Times New Roman"/>
                <w:color w:val="000000"/>
                <w:sz w:val="18"/>
                <w:szCs w:val="18"/>
              </w:rPr>
              <w:t>2216302</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32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6</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2</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2F16</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hint="eastAsia" w:ascii="Times New Roman" w:hAnsi="Times New Roman" w:eastAsia="宋体"/>
                <w:color w:val="000000"/>
                <w:kern w:val="0"/>
                <w:sz w:val="18"/>
                <w:szCs w:val="18"/>
                <w:lang w:eastAsia="zh-CN"/>
              </w:rPr>
            </w:pPr>
            <w:r>
              <w:rPr>
                <w:rFonts w:ascii="Times New Roman" w:hAnsi="Times New Roman"/>
                <w:color w:val="000000"/>
                <w:sz w:val="18"/>
                <w:szCs w:val="18"/>
              </w:rPr>
              <w:t>4</w:t>
            </w:r>
            <w:r>
              <w:rPr>
                <w:rFonts w:hint="eastAsia" w:ascii="Times New Roman" w:hAnsi="Times New Roman"/>
                <w:color w:val="000000"/>
                <w:sz w:val="18"/>
                <w:szCs w:val="18"/>
                <w:lang w:val="en-US" w:eastAsia="zh-CN"/>
              </w:rPr>
              <w:t>1</w:t>
            </w:r>
          </w:p>
        </w:tc>
        <w:tc>
          <w:tcPr>
            <w:tcW w:w="685" w:type="dxa"/>
            <w:vMerge w:val="continue"/>
            <w:vAlign w:val="center"/>
          </w:tcPr>
          <w:p>
            <w:pPr>
              <w:widowControl/>
              <w:jc w:val="left"/>
              <w:rPr>
                <w:rFonts w:ascii="Times New Roman" w:hAnsi="Times New Roman"/>
                <w:color w:val="000000"/>
                <w:kern w:val="0"/>
                <w:sz w:val="18"/>
                <w:szCs w:val="18"/>
              </w:rPr>
            </w:pPr>
          </w:p>
        </w:tc>
        <w:tc>
          <w:tcPr>
            <w:tcW w:w="1184" w:type="dxa"/>
            <w:shd w:val="clear" w:color="auto" w:fill="auto"/>
            <w:vAlign w:val="center"/>
          </w:tcPr>
          <w:p>
            <w:pPr>
              <w:widowControl/>
              <w:jc w:val="left"/>
              <w:rPr>
                <w:rFonts w:ascii="Times New Roman" w:hAnsi="Times New Roman"/>
                <w:color w:val="000000"/>
                <w:kern w:val="0"/>
                <w:sz w:val="18"/>
                <w:szCs w:val="18"/>
                <w:highlight w:val="yellow"/>
              </w:rPr>
            </w:pPr>
            <w:r>
              <w:rPr>
                <w:rFonts w:ascii="Times New Roman" w:hAnsi="Times New Roman"/>
                <w:color w:val="000000"/>
                <w:sz w:val="18"/>
                <w:szCs w:val="18"/>
              </w:rPr>
              <w:t>功能食品加工技术</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2214202</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28</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4</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2</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2L14</w:t>
            </w:r>
          </w:p>
        </w:tc>
        <w:tc>
          <w:tcPr>
            <w:tcW w:w="708" w:type="dxa"/>
            <w:shd w:val="clear" w:color="auto" w:fill="auto"/>
            <w:vAlign w:val="center"/>
          </w:tcPr>
          <w:p>
            <w:pPr>
              <w:widowControl/>
              <w:jc w:val="center"/>
              <w:rPr>
                <w:rFonts w:ascii="Times New Roman" w:hAnsi="Times New Roman"/>
                <w:color w:val="000000"/>
                <w:kern w:val="0"/>
                <w:sz w:val="18"/>
                <w:szCs w:val="18"/>
                <w:highlight w:val="yellow"/>
              </w:rPr>
            </w:pPr>
            <w:r>
              <w:rPr>
                <w:rFonts w:ascii="Times New Roman" w:hAnsi="Times New Roman"/>
                <w:color w:val="00000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576" w:type="dxa"/>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3129" w:type="dxa"/>
            <w:gridSpan w:val="4"/>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食品质量管理方向课小计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88</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14</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576" w:type="dxa"/>
            <w:vMerge w:val="restart"/>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42</w:t>
            </w:r>
          </w:p>
        </w:tc>
        <w:tc>
          <w:tcPr>
            <w:tcW w:w="685"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模块二食品加工方向</w:t>
            </w:r>
          </w:p>
        </w:tc>
        <w:tc>
          <w:tcPr>
            <w:tcW w:w="1184" w:type="dxa"/>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发酵食品加工技术</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2210306</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28</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2L14</w:t>
            </w:r>
          </w:p>
        </w:tc>
        <w:tc>
          <w:tcPr>
            <w:tcW w:w="708" w:type="dxa"/>
            <w:shd w:val="clear" w:color="auto" w:fill="auto"/>
            <w:vAlign w:val="bottom"/>
          </w:tcPr>
          <w:p>
            <w:pPr>
              <w:jc w:val="left"/>
              <w:rPr>
                <w:rFonts w:ascii="Times New Roman" w:hAnsi="Times New Roman"/>
                <w:color w:val="000000"/>
                <w:sz w:val="22"/>
              </w:rPr>
            </w:pPr>
            <w:r>
              <w:rPr>
                <w:rFonts w:ascii="Times New Roman" w:hAnsi="Times New Roman"/>
                <w:color w:val="000000"/>
                <w:sz w:val="22"/>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43</w:t>
            </w:r>
          </w:p>
        </w:tc>
        <w:tc>
          <w:tcPr>
            <w:tcW w:w="685" w:type="dxa"/>
            <w:vMerge w:val="continue"/>
            <w:vAlign w:val="center"/>
          </w:tcPr>
          <w:p>
            <w:pPr>
              <w:widowControl/>
              <w:jc w:val="left"/>
              <w:rPr>
                <w:rFonts w:ascii="Times New Roman" w:hAnsi="Times New Roman"/>
                <w:color w:val="000000"/>
                <w:kern w:val="0"/>
                <w:sz w:val="18"/>
                <w:szCs w:val="18"/>
              </w:rPr>
            </w:pPr>
          </w:p>
        </w:tc>
        <w:tc>
          <w:tcPr>
            <w:tcW w:w="1184" w:type="dxa"/>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软饮料加工技术</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2214301</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32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6</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2</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2F16</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hint="eastAsia" w:ascii="Times New Roman" w:hAnsi="Times New Roman" w:eastAsia="宋体"/>
                <w:color w:val="000000"/>
                <w:kern w:val="0"/>
                <w:sz w:val="18"/>
                <w:szCs w:val="18"/>
                <w:lang w:eastAsia="zh-CN"/>
              </w:rPr>
            </w:pPr>
            <w:r>
              <w:rPr>
                <w:rFonts w:ascii="Times New Roman" w:hAnsi="Times New Roman"/>
                <w:color w:val="000000"/>
                <w:kern w:val="0"/>
                <w:sz w:val="18"/>
                <w:szCs w:val="18"/>
              </w:rPr>
              <w:t>4</w:t>
            </w:r>
            <w:r>
              <w:rPr>
                <w:rFonts w:hint="eastAsia" w:ascii="Times New Roman" w:hAnsi="Times New Roman"/>
                <w:color w:val="000000"/>
                <w:kern w:val="0"/>
                <w:sz w:val="18"/>
                <w:szCs w:val="18"/>
                <w:lang w:val="en-US" w:eastAsia="zh-CN"/>
              </w:rPr>
              <w:t>4</w:t>
            </w:r>
          </w:p>
        </w:tc>
        <w:tc>
          <w:tcPr>
            <w:tcW w:w="685" w:type="dxa"/>
            <w:vMerge w:val="continue"/>
            <w:vAlign w:val="center"/>
          </w:tcPr>
          <w:p>
            <w:pPr>
              <w:widowControl/>
              <w:jc w:val="left"/>
              <w:rPr>
                <w:rFonts w:ascii="Times New Roman" w:hAnsi="Times New Roman"/>
                <w:color w:val="000000"/>
                <w:kern w:val="0"/>
                <w:sz w:val="18"/>
                <w:szCs w:val="18"/>
              </w:rPr>
            </w:pPr>
          </w:p>
        </w:tc>
        <w:tc>
          <w:tcPr>
            <w:tcW w:w="1184" w:type="dxa"/>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粮油加工技术</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2210305</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28</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4</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2</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2L14</w:t>
            </w:r>
          </w:p>
        </w:tc>
        <w:tc>
          <w:tcPr>
            <w:tcW w:w="708" w:type="dxa"/>
            <w:shd w:val="clear" w:color="auto" w:fill="auto"/>
            <w:vAlign w:val="center"/>
          </w:tcPr>
          <w:p>
            <w:pPr>
              <w:widowControl/>
              <w:jc w:val="center"/>
              <w:rPr>
                <w:rFonts w:ascii="Times New Roman" w:hAnsi="Times New Roman"/>
                <w:color w:val="000000"/>
                <w:kern w:val="0"/>
                <w:sz w:val="18"/>
                <w:szCs w:val="18"/>
                <w:highlight w:val="yellow"/>
              </w:rPr>
            </w:pPr>
            <w:r>
              <w:rPr>
                <w:rFonts w:ascii="Times New Roman" w:hAnsi="Times New Roman"/>
                <w:color w:val="00000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3129" w:type="dxa"/>
            <w:gridSpan w:val="4"/>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食品加工方向课小计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88</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14</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实习实训课</w:t>
            </w: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45</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农产品食品检验员职业资格培训与鉴定</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2210218</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60</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30L2</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46</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专项技能训练</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2216202</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120</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120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30F4</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47</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认识实习</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2216203</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30M1</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48</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跟岗实习</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2216204</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120</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120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30L4</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49</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顶岗实习</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2216205</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420</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420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14</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noWrap/>
            <w:vAlign w:val="bottom"/>
          </w:tcPr>
          <w:p>
            <w:pPr>
              <w:jc w:val="center"/>
              <w:rPr>
                <w:rFonts w:ascii="Times New Roman" w:hAnsi="Times New Roman"/>
                <w:color w:val="000000"/>
                <w:sz w:val="18"/>
                <w:szCs w:val="18"/>
              </w:rPr>
            </w:pP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30F14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Times New Roman" w:hAnsi="Times New Roman" w:eastAsia="宋体" w:cs="Times New Roman"/>
                <w:color w:val="000000"/>
                <w:kern w:val="2"/>
                <w:sz w:val="18"/>
                <w:szCs w:val="18"/>
                <w:lang w:val="en-US" w:eastAsia="zh-CN" w:bidi="ar-SA"/>
              </w:rPr>
            </w:pPr>
            <w:r>
              <w:rPr>
                <w:rFonts w:ascii="Times New Roman" w:hAnsi="Times New Roman"/>
                <w:color w:val="000000"/>
                <w:sz w:val="18"/>
                <w:szCs w:val="18"/>
              </w:rPr>
              <w:t>50</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专业综合技能实训</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2216206</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540</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540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18</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hint="eastAsia" w:ascii="Times New Roman" w:hAnsi="Times New Roman" w:eastAsia="宋体"/>
                <w:color w:val="000000"/>
                <w:sz w:val="18"/>
                <w:szCs w:val="18"/>
                <w:lang w:eastAsia="zh-CN"/>
              </w:rPr>
            </w:pPr>
            <w:r>
              <w:rPr>
                <w:rFonts w:ascii="Times New Roman" w:hAnsi="Times New Roman"/>
                <w:color w:val="000000"/>
                <w:sz w:val="18"/>
                <w:szCs w:val="18"/>
              </w:rPr>
              <w:t>5</w:t>
            </w:r>
            <w:r>
              <w:rPr>
                <w:rFonts w:hint="eastAsia" w:ascii="Times New Roman" w:hAnsi="Times New Roman"/>
                <w:color w:val="000000"/>
                <w:sz w:val="18"/>
                <w:szCs w:val="18"/>
                <w:lang w:val="en-US" w:eastAsia="zh-CN"/>
              </w:rPr>
              <w:t>1</w:t>
            </w:r>
          </w:p>
        </w:tc>
        <w:tc>
          <w:tcPr>
            <w:tcW w:w="1869" w:type="dxa"/>
            <w:gridSpan w:val="2"/>
            <w:shd w:val="clear" w:color="auto" w:fill="auto"/>
            <w:vAlign w:val="center"/>
          </w:tcPr>
          <w:p>
            <w:pPr>
              <w:jc w:val="left"/>
              <w:rPr>
                <w:rFonts w:ascii="Times New Roman" w:hAnsi="Times New Roman"/>
                <w:color w:val="000000"/>
                <w:sz w:val="18"/>
                <w:szCs w:val="18"/>
              </w:rPr>
            </w:pPr>
            <w:r>
              <w:rPr>
                <w:rFonts w:ascii="Times New Roman" w:hAnsi="Times New Roman"/>
                <w:color w:val="000000"/>
                <w:sz w:val="18"/>
                <w:szCs w:val="18"/>
              </w:rPr>
              <w:t>毕业设计（论文）</w:t>
            </w:r>
          </w:p>
        </w:tc>
        <w:tc>
          <w:tcPr>
            <w:tcW w:w="850"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2216207</w:t>
            </w:r>
          </w:p>
        </w:tc>
        <w:tc>
          <w:tcPr>
            <w:tcW w:w="69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120</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90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425"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shd w:val="clear" w:color="auto" w:fill="auto"/>
            <w:vAlign w:val="center"/>
          </w:tcPr>
          <w:p>
            <w:pPr>
              <w:widowControl/>
              <w:jc w:val="left"/>
              <w:rPr>
                <w:rFonts w:ascii="Times New Roman" w:hAnsi="Times New Roman"/>
                <w:color w:val="000000"/>
                <w:kern w:val="0"/>
                <w:sz w:val="18"/>
                <w:szCs w:val="18"/>
              </w:rPr>
            </w:pPr>
          </w:p>
        </w:tc>
        <w:tc>
          <w:tcPr>
            <w:tcW w:w="406" w:type="dxa"/>
            <w:vAlign w:val="center"/>
          </w:tcPr>
          <w:p>
            <w:pPr>
              <w:widowControl/>
              <w:jc w:val="left"/>
              <w:rPr>
                <w:rFonts w:ascii="Times New Roman" w:hAnsi="Times New Roman"/>
                <w:color w:val="000000"/>
                <w:kern w:val="0"/>
                <w:sz w:val="18"/>
                <w:szCs w:val="18"/>
              </w:rPr>
            </w:pPr>
          </w:p>
        </w:tc>
        <w:tc>
          <w:tcPr>
            <w:tcW w:w="3129" w:type="dxa"/>
            <w:gridSpan w:val="4"/>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实习实训课小计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1410</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1350</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47</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shd w:val="clear" w:color="auto" w:fill="auto"/>
            <w:vAlign w:val="center"/>
          </w:tcPr>
          <w:p>
            <w:pPr>
              <w:widowControl/>
              <w:jc w:val="left"/>
              <w:rPr>
                <w:rFonts w:ascii="Times New Roman" w:hAnsi="Times New Roman"/>
                <w:color w:val="000000"/>
                <w:kern w:val="0"/>
                <w:sz w:val="18"/>
                <w:szCs w:val="18"/>
              </w:rPr>
            </w:pPr>
          </w:p>
        </w:tc>
        <w:tc>
          <w:tcPr>
            <w:tcW w:w="3535"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专业技能课小计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2504</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1626</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114</w:t>
            </w:r>
          </w:p>
        </w:tc>
        <w:tc>
          <w:tcPr>
            <w:tcW w:w="425" w:type="dxa"/>
            <w:shd w:val="clear" w:color="auto" w:fill="auto"/>
            <w:vAlign w:val="center"/>
          </w:tcPr>
          <w:p>
            <w:pPr>
              <w:jc w:val="center"/>
              <w:rPr>
                <w:rFonts w:ascii="Times New Roman" w:hAnsi="Times New Roman"/>
                <w:color w:val="000000"/>
                <w:sz w:val="18"/>
                <w:szCs w:val="18"/>
              </w:rPr>
            </w:pP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公选</w:t>
            </w:r>
          </w:p>
        </w:tc>
        <w:tc>
          <w:tcPr>
            <w:tcW w:w="3535"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公共选修课小计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192</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　</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12</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261"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周学时数　</w:t>
            </w:r>
          </w:p>
        </w:tc>
        <w:tc>
          <w:tcPr>
            <w:tcW w:w="1549" w:type="dxa"/>
            <w:gridSpan w:val="2"/>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sz w:val="18"/>
                <w:szCs w:val="18"/>
              </w:rPr>
              <w:t>26</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28</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26</w:t>
            </w:r>
          </w:p>
        </w:tc>
        <w:tc>
          <w:tcPr>
            <w:tcW w:w="708"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26</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261"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总    数</w:t>
            </w:r>
          </w:p>
        </w:tc>
        <w:tc>
          <w:tcPr>
            <w:tcW w:w="1549" w:type="dxa"/>
            <w:gridSpan w:val="2"/>
            <w:shd w:val="clear" w:color="auto" w:fill="auto"/>
            <w:vAlign w:val="center"/>
          </w:tcPr>
          <w:p>
            <w:pPr>
              <w:widowControl/>
              <w:jc w:val="center"/>
              <w:rPr>
                <w:rFonts w:hint="default" w:ascii="Times New Roman" w:hAnsi="Times New Roman" w:eastAsia="宋体"/>
                <w:color w:val="000000"/>
                <w:kern w:val="0"/>
                <w:sz w:val="18"/>
                <w:szCs w:val="18"/>
                <w:lang w:val="en-US" w:eastAsia="zh-CN"/>
              </w:rPr>
            </w:pPr>
            <w:r>
              <w:rPr>
                <w:rFonts w:hint="eastAsia" w:ascii="Times New Roman" w:hAnsi="Times New Roman"/>
                <w:color w:val="000000"/>
                <w:sz w:val="18"/>
                <w:szCs w:val="18"/>
                <w:lang w:val="en-US" w:eastAsia="zh-CN"/>
              </w:rPr>
              <w:t>3556</w:t>
            </w:r>
          </w:p>
        </w:tc>
        <w:tc>
          <w:tcPr>
            <w:tcW w:w="709" w:type="dxa"/>
            <w:shd w:val="clear" w:color="auto" w:fill="auto"/>
            <w:vAlign w:val="center"/>
          </w:tcPr>
          <w:p>
            <w:pPr>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1958</w:t>
            </w:r>
          </w:p>
        </w:tc>
        <w:tc>
          <w:tcPr>
            <w:tcW w:w="567" w:type="dxa"/>
            <w:shd w:val="clear" w:color="auto" w:fill="auto"/>
            <w:vAlign w:val="center"/>
          </w:tcPr>
          <w:p>
            <w:pPr>
              <w:jc w:val="center"/>
              <w:rPr>
                <w:rFonts w:hint="eastAsia" w:ascii="Times New Roman" w:hAnsi="Times New Roman" w:eastAsia="宋体"/>
                <w:color w:val="000000"/>
                <w:sz w:val="18"/>
                <w:szCs w:val="18"/>
                <w:lang w:eastAsia="zh-CN"/>
              </w:rPr>
            </w:pPr>
            <w:r>
              <w:rPr>
                <w:rFonts w:ascii="Times New Roman" w:hAnsi="Times New Roman"/>
                <w:color w:val="000000"/>
                <w:sz w:val="18"/>
                <w:szCs w:val="18"/>
              </w:rPr>
              <w:t>16</w:t>
            </w:r>
            <w:r>
              <w:rPr>
                <w:rFonts w:hint="eastAsia" w:ascii="Times New Roman" w:hAnsi="Times New Roman"/>
                <w:color w:val="000000"/>
                <w:sz w:val="18"/>
                <w:szCs w:val="18"/>
                <w:lang w:val="en-US" w:eastAsia="zh-CN"/>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556</w:t>
            </w:r>
          </w:p>
        </w:tc>
        <w:tc>
          <w:tcPr>
            <w:tcW w:w="709" w:type="dxa"/>
            <w:shd w:val="clear" w:color="auto" w:fill="auto"/>
            <w:vAlign w:val="bottom"/>
          </w:tcPr>
          <w:p>
            <w:pPr>
              <w:jc w:val="center"/>
              <w:rPr>
                <w:rFonts w:ascii="Times New Roman" w:hAnsi="Times New Roman"/>
                <w:color w:val="000000"/>
                <w:sz w:val="18"/>
                <w:szCs w:val="18"/>
              </w:rPr>
            </w:pPr>
            <w:r>
              <w:rPr>
                <w:rFonts w:ascii="Times New Roman" w:hAnsi="Times New Roman"/>
                <w:color w:val="000000"/>
                <w:sz w:val="18"/>
                <w:szCs w:val="18"/>
              </w:rPr>
              <w:t>665</w:t>
            </w:r>
          </w:p>
        </w:tc>
        <w:tc>
          <w:tcPr>
            <w:tcW w:w="709" w:type="dxa"/>
            <w:shd w:val="clear" w:color="auto" w:fill="auto"/>
            <w:vAlign w:val="bottom"/>
          </w:tcPr>
          <w:p>
            <w:pPr>
              <w:jc w:val="center"/>
              <w:rPr>
                <w:rFonts w:ascii="Times New Roman" w:hAnsi="Times New Roman"/>
                <w:color w:val="000000"/>
                <w:sz w:val="18"/>
                <w:szCs w:val="18"/>
              </w:rPr>
            </w:pPr>
            <w:r>
              <w:rPr>
                <w:rFonts w:ascii="Times New Roman" w:hAnsi="Times New Roman"/>
                <w:color w:val="000000"/>
                <w:sz w:val="18"/>
                <w:szCs w:val="18"/>
              </w:rPr>
              <w:t>498</w:t>
            </w:r>
          </w:p>
        </w:tc>
        <w:tc>
          <w:tcPr>
            <w:tcW w:w="708" w:type="dxa"/>
            <w:shd w:val="clear" w:color="auto" w:fill="auto"/>
            <w:vAlign w:val="bottom"/>
          </w:tcPr>
          <w:p>
            <w:pPr>
              <w:jc w:val="center"/>
              <w:rPr>
                <w:rFonts w:ascii="Times New Roman" w:hAnsi="Times New Roman"/>
                <w:color w:val="000000"/>
                <w:sz w:val="18"/>
                <w:szCs w:val="18"/>
              </w:rPr>
            </w:pPr>
            <w:r>
              <w:rPr>
                <w:rFonts w:ascii="Times New Roman" w:hAnsi="Times New Roman"/>
                <w:color w:val="000000"/>
                <w:sz w:val="18"/>
                <w:szCs w:val="18"/>
              </w:rPr>
              <w:t>492</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540</w:t>
            </w:r>
          </w:p>
        </w:tc>
        <w:tc>
          <w:tcPr>
            <w:tcW w:w="709" w:type="dxa"/>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540</w:t>
            </w:r>
          </w:p>
        </w:tc>
      </w:tr>
    </w:tbl>
    <w:p>
      <w:pPr>
        <w:ind w:firstLine="560" w:firstLineChars="200"/>
        <w:rPr>
          <w:rFonts w:ascii="Times New Roman" w:hAnsi="Times New Roman"/>
          <w:sz w:val="28"/>
          <w:szCs w:val="28"/>
        </w:rPr>
      </w:pPr>
      <w:bookmarkStart w:id="8" w:name="_GoBack"/>
      <w:bookmarkEnd w:id="8"/>
    </w:p>
    <w:sectPr>
      <w:footerReference r:id="rId3" w:type="default"/>
      <w:pgSz w:w="11906" w:h="16838"/>
      <w:pgMar w:top="1440" w:right="1797" w:bottom="1440" w:left="1797" w:header="851" w:footer="992" w:gutter="0"/>
      <w:paperSrc w:first="257" w:other="257"/>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FZXBSJW--GB1-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14</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CD4"/>
    <w:rsid w:val="00010FDD"/>
    <w:rsid w:val="0001171F"/>
    <w:rsid w:val="00015A82"/>
    <w:rsid w:val="000403A2"/>
    <w:rsid w:val="0004320D"/>
    <w:rsid w:val="0004401D"/>
    <w:rsid w:val="000529B1"/>
    <w:rsid w:val="000535BE"/>
    <w:rsid w:val="000642D0"/>
    <w:rsid w:val="00075F81"/>
    <w:rsid w:val="00082CD4"/>
    <w:rsid w:val="00087BCE"/>
    <w:rsid w:val="00094CFB"/>
    <w:rsid w:val="00094E52"/>
    <w:rsid w:val="000A2ED7"/>
    <w:rsid w:val="000A76DC"/>
    <w:rsid w:val="000B2BED"/>
    <w:rsid w:val="000C548C"/>
    <w:rsid w:val="000C68D0"/>
    <w:rsid w:val="000D0E10"/>
    <w:rsid w:val="000D7E98"/>
    <w:rsid w:val="000E26BE"/>
    <w:rsid w:val="00100EBC"/>
    <w:rsid w:val="00101AA8"/>
    <w:rsid w:val="00102EF6"/>
    <w:rsid w:val="001064A3"/>
    <w:rsid w:val="001074C7"/>
    <w:rsid w:val="00112457"/>
    <w:rsid w:val="00113DC0"/>
    <w:rsid w:val="001144C4"/>
    <w:rsid w:val="0012058B"/>
    <w:rsid w:val="00122CBB"/>
    <w:rsid w:val="00123330"/>
    <w:rsid w:val="00125F59"/>
    <w:rsid w:val="001275E9"/>
    <w:rsid w:val="00132886"/>
    <w:rsid w:val="001329AD"/>
    <w:rsid w:val="0013337C"/>
    <w:rsid w:val="00135AB7"/>
    <w:rsid w:val="00140715"/>
    <w:rsid w:val="00153EEA"/>
    <w:rsid w:val="00156723"/>
    <w:rsid w:val="0015722E"/>
    <w:rsid w:val="0016151A"/>
    <w:rsid w:val="00163AF4"/>
    <w:rsid w:val="00171B95"/>
    <w:rsid w:val="00176295"/>
    <w:rsid w:val="0018631D"/>
    <w:rsid w:val="0019060D"/>
    <w:rsid w:val="00193549"/>
    <w:rsid w:val="00193EE9"/>
    <w:rsid w:val="001A4874"/>
    <w:rsid w:val="001A7306"/>
    <w:rsid w:val="001C5CBF"/>
    <w:rsid w:val="001D0CFF"/>
    <w:rsid w:val="001D6CD4"/>
    <w:rsid w:val="001E04C7"/>
    <w:rsid w:val="001E472B"/>
    <w:rsid w:val="001F13F2"/>
    <w:rsid w:val="00217044"/>
    <w:rsid w:val="0022054C"/>
    <w:rsid w:val="0022130F"/>
    <w:rsid w:val="00221AF9"/>
    <w:rsid w:val="00221EC8"/>
    <w:rsid w:val="00226488"/>
    <w:rsid w:val="00232888"/>
    <w:rsid w:val="002363B1"/>
    <w:rsid w:val="00236903"/>
    <w:rsid w:val="0026103C"/>
    <w:rsid w:val="00266845"/>
    <w:rsid w:val="00287E37"/>
    <w:rsid w:val="002A0D4F"/>
    <w:rsid w:val="002A2362"/>
    <w:rsid w:val="002B283C"/>
    <w:rsid w:val="002B3D8E"/>
    <w:rsid w:val="002D5123"/>
    <w:rsid w:val="002F6A6E"/>
    <w:rsid w:val="003117C7"/>
    <w:rsid w:val="00313CA0"/>
    <w:rsid w:val="003151F9"/>
    <w:rsid w:val="00320EA2"/>
    <w:rsid w:val="003215EC"/>
    <w:rsid w:val="0032448A"/>
    <w:rsid w:val="003321BE"/>
    <w:rsid w:val="00346C67"/>
    <w:rsid w:val="0035087A"/>
    <w:rsid w:val="00360FDB"/>
    <w:rsid w:val="00363E2B"/>
    <w:rsid w:val="00372D7A"/>
    <w:rsid w:val="00374188"/>
    <w:rsid w:val="0039257E"/>
    <w:rsid w:val="003A24B3"/>
    <w:rsid w:val="003A66E1"/>
    <w:rsid w:val="003C56DF"/>
    <w:rsid w:val="003E28A1"/>
    <w:rsid w:val="003E7431"/>
    <w:rsid w:val="003F0F32"/>
    <w:rsid w:val="003F4000"/>
    <w:rsid w:val="004017E3"/>
    <w:rsid w:val="00403949"/>
    <w:rsid w:val="00417A45"/>
    <w:rsid w:val="0042365D"/>
    <w:rsid w:val="00451EDD"/>
    <w:rsid w:val="00462851"/>
    <w:rsid w:val="004660B1"/>
    <w:rsid w:val="004701BB"/>
    <w:rsid w:val="00477A39"/>
    <w:rsid w:val="00484938"/>
    <w:rsid w:val="00485B73"/>
    <w:rsid w:val="00486A9A"/>
    <w:rsid w:val="00490C0B"/>
    <w:rsid w:val="004958B9"/>
    <w:rsid w:val="004B380E"/>
    <w:rsid w:val="004C4FFF"/>
    <w:rsid w:val="004C701A"/>
    <w:rsid w:val="004D6170"/>
    <w:rsid w:val="004D7CC1"/>
    <w:rsid w:val="004D7EDB"/>
    <w:rsid w:val="004E2688"/>
    <w:rsid w:val="004F0486"/>
    <w:rsid w:val="004F25E3"/>
    <w:rsid w:val="004F27B8"/>
    <w:rsid w:val="004F4E9E"/>
    <w:rsid w:val="0050157C"/>
    <w:rsid w:val="0050358C"/>
    <w:rsid w:val="00524122"/>
    <w:rsid w:val="005323F3"/>
    <w:rsid w:val="00537AD4"/>
    <w:rsid w:val="00542505"/>
    <w:rsid w:val="00543E6E"/>
    <w:rsid w:val="005548C5"/>
    <w:rsid w:val="00571A52"/>
    <w:rsid w:val="00571EB4"/>
    <w:rsid w:val="00581B13"/>
    <w:rsid w:val="00584F51"/>
    <w:rsid w:val="00586ECD"/>
    <w:rsid w:val="00595822"/>
    <w:rsid w:val="005A0ADE"/>
    <w:rsid w:val="005A2107"/>
    <w:rsid w:val="005A469E"/>
    <w:rsid w:val="005C440F"/>
    <w:rsid w:val="005C4789"/>
    <w:rsid w:val="005C5756"/>
    <w:rsid w:val="005D6ADD"/>
    <w:rsid w:val="005D73CC"/>
    <w:rsid w:val="005E19E1"/>
    <w:rsid w:val="005F49D2"/>
    <w:rsid w:val="005F7487"/>
    <w:rsid w:val="00602631"/>
    <w:rsid w:val="00606ACD"/>
    <w:rsid w:val="006259E4"/>
    <w:rsid w:val="0063293B"/>
    <w:rsid w:val="00632E46"/>
    <w:rsid w:val="00633819"/>
    <w:rsid w:val="006516B7"/>
    <w:rsid w:val="00661223"/>
    <w:rsid w:val="00676B14"/>
    <w:rsid w:val="00691F3C"/>
    <w:rsid w:val="006946A4"/>
    <w:rsid w:val="006A2937"/>
    <w:rsid w:val="006A3EF4"/>
    <w:rsid w:val="006B3895"/>
    <w:rsid w:val="006C6918"/>
    <w:rsid w:val="006D7A40"/>
    <w:rsid w:val="006E550A"/>
    <w:rsid w:val="006F17BB"/>
    <w:rsid w:val="006F5D0D"/>
    <w:rsid w:val="006F6A2B"/>
    <w:rsid w:val="00702E77"/>
    <w:rsid w:val="007030D6"/>
    <w:rsid w:val="00727921"/>
    <w:rsid w:val="00733510"/>
    <w:rsid w:val="007352C2"/>
    <w:rsid w:val="0074196F"/>
    <w:rsid w:val="00744213"/>
    <w:rsid w:val="00750007"/>
    <w:rsid w:val="00752DC0"/>
    <w:rsid w:val="00755255"/>
    <w:rsid w:val="007604F8"/>
    <w:rsid w:val="00764709"/>
    <w:rsid w:val="00774382"/>
    <w:rsid w:val="00780206"/>
    <w:rsid w:val="007833CE"/>
    <w:rsid w:val="00783D39"/>
    <w:rsid w:val="007947BA"/>
    <w:rsid w:val="007977CA"/>
    <w:rsid w:val="007C4595"/>
    <w:rsid w:val="007C482F"/>
    <w:rsid w:val="007C5CB9"/>
    <w:rsid w:val="007E7E09"/>
    <w:rsid w:val="007F35DC"/>
    <w:rsid w:val="007F445A"/>
    <w:rsid w:val="00800499"/>
    <w:rsid w:val="0082402E"/>
    <w:rsid w:val="0082750B"/>
    <w:rsid w:val="00831EED"/>
    <w:rsid w:val="00835CEC"/>
    <w:rsid w:val="00842FFA"/>
    <w:rsid w:val="00845AA7"/>
    <w:rsid w:val="00860486"/>
    <w:rsid w:val="008619DA"/>
    <w:rsid w:val="008640C0"/>
    <w:rsid w:val="00873929"/>
    <w:rsid w:val="00875086"/>
    <w:rsid w:val="00875E49"/>
    <w:rsid w:val="00875FCA"/>
    <w:rsid w:val="00881710"/>
    <w:rsid w:val="008A5A55"/>
    <w:rsid w:val="008C1C1D"/>
    <w:rsid w:val="008C316F"/>
    <w:rsid w:val="008C3530"/>
    <w:rsid w:val="008C36D6"/>
    <w:rsid w:val="008D4F35"/>
    <w:rsid w:val="00901077"/>
    <w:rsid w:val="00905984"/>
    <w:rsid w:val="00907323"/>
    <w:rsid w:val="00907E08"/>
    <w:rsid w:val="00931B2B"/>
    <w:rsid w:val="009418C8"/>
    <w:rsid w:val="00941CF4"/>
    <w:rsid w:val="00954C60"/>
    <w:rsid w:val="00960EBD"/>
    <w:rsid w:val="00962719"/>
    <w:rsid w:val="00973BD3"/>
    <w:rsid w:val="00982C1F"/>
    <w:rsid w:val="009A4C00"/>
    <w:rsid w:val="009A4C71"/>
    <w:rsid w:val="009A5FBD"/>
    <w:rsid w:val="009B20D9"/>
    <w:rsid w:val="009F2437"/>
    <w:rsid w:val="009F66E8"/>
    <w:rsid w:val="00A01F90"/>
    <w:rsid w:val="00A120A7"/>
    <w:rsid w:val="00A148AC"/>
    <w:rsid w:val="00A23962"/>
    <w:rsid w:val="00A276CD"/>
    <w:rsid w:val="00A304E1"/>
    <w:rsid w:val="00A475D3"/>
    <w:rsid w:val="00A572BD"/>
    <w:rsid w:val="00A71CE9"/>
    <w:rsid w:val="00A72BF7"/>
    <w:rsid w:val="00A73B2A"/>
    <w:rsid w:val="00A73EA1"/>
    <w:rsid w:val="00A77E25"/>
    <w:rsid w:val="00A84894"/>
    <w:rsid w:val="00A86415"/>
    <w:rsid w:val="00A97DEF"/>
    <w:rsid w:val="00AA5C09"/>
    <w:rsid w:val="00AB7BC4"/>
    <w:rsid w:val="00AD52F6"/>
    <w:rsid w:val="00AE0237"/>
    <w:rsid w:val="00AE1DA9"/>
    <w:rsid w:val="00AE2A04"/>
    <w:rsid w:val="00AF2084"/>
    <w:rsid w:val="00AF4D38"/>
    <w:rsid w:val="00AF5895"/>
    <w:rsid w:val="00B11D2E"/>
    <w:rsid w:val="00B13391"/>
    <w:rsid w:val="00B26AA0"/>
    <w:rsid w:val="00B324F3"/>
    <w:rsid w:val="00B34839"/>
    <w:rsid w:val="00B36908"/>
    <w:rsid w:val="00B3693B"/>
    <w:rsid w:val="00B475C2"/>
    <w:rsid w:val="00B53CC1"/>
    <w:rsid w:val="00B610FC"/>
    <w:rsid w:val="00B6260A"/>
    <w:rsid w:val="00B64E9A"/>
    <w:rsid w:val="00B710BE"/>
    <w:rsid w:val="00B762CE"/>
    <w:rsid w:val="00B77DB9"/>
    <w:rsid w:val="00B862A6"/>
    <w:rsid w:val="00B95DAC"/>
    <w:rsid w:val="00BA3EC2"/>
    <w:rsid w:val="00BA5205"/>
    <w:rsid w:val="00BE44FB"/>
    <w:rsid w:val="00BE48AC"/>
    <w:rsid w:val="00BF7E77"/>
    <w:rsid w:val="00C029F6"/>
    <w:rsid w:val="00C04CD5"/>
    <w:rsid w:val="00C106A0"/>
    <w:rsid w:val="00C17183"/>
    <w:rsid w:val="00C26876"/>
    <w:rsid w:val="00C3572B"/>
    <w:rsid w:val="00C440DB"/>
    <w:rsid w:val="00C440F9"/>
    <w:rsid w:val="00C503B7"/>
    <w:rsid w:val="00C528DE"/>
    <w:rsid w:val="00C5372F"/>
    <w:rsid w:val="00C62145"/>
    <w:rsid w:val="00C702A8"/>
    <w:rsid w:val="00C70410"/>
    <w:rsid w:val="00C90908"/>
    <w:rsid w:val="00CA00EA"/>
    <w:rsid w:val="00CB096F"/>
    <w:rsid w:val="00CB1BB8"/>
    <w:rsid w:val="00CB2C7D"/>
    <w:rsid w:val="00CC05B1"/>
    <w:rsid w:val="00CC1AAE"/>
    <w:rsid w:val="00CD7592"/>
    <w:rsid w:val="00CE0645"/>
    <w:rsid w:val="00CF397B"/>
    <w:rsid w:val="00CF4D92"/>
    <w:rsid w:val="00CF66A9"/>
    <w:rsid w:val="00CF7E9A"/>
    <w:rsid w:val="00D041BA"/>
    <w:rsid w:val="00D0463B"/>
    <w:rsid w:val="00D06DC9"/>
    <w:rsid w:val="00D07E30"/>
    <w:rsid w:val="00D11CA2"/>
    <w:rsid w:val="00D17998"/>
    <w:rsid w:val="00D27C61"/>
    <w:rsid w:val="00D41046"/>
    <w:rsid w:val="00D42560"/>
    <w:rsid w:val="00D43B5A"/>
    <w:rsid w:val="00D50D5F"/>
    <w:rsid w:val="00D50DEF"/>
    <w:rsid w:val="00D52446"/>
    <w:rsid w:val="00D6097C"/>
    <w:rsid w:val="00D71F46"/>
    <w:rsid w:val="00D7429E"/>
    <w:rsid w:val="00D74E20"/>
    <w:rsid w:val="00D80001"/>
    <w:rsid w:val="00D80745"/>
    <w:rsid w:val="00D83C3F"/>
    <w:rsid w:val="00D83CE3"/>
    <w:rsid w:val="00D91752"/>
    <w:rsid w:val="00DA1C92"/>
    <w:rsid w:val="00DC1F36"/>
    <w:rsid w:val="00DC7489"/>
    <w:rsid w:val="00DD747A"/>
    <w:rsid w:val="00DF2ECD"/>
    <w:rsid w:val="00DF3A6E"/>
    <w:rsid w:val="00DF3ABB"/>
    <w:rsid w:val="00DF5CA7"/>
    <w:rsid w:val="00E00008"/>
    <w:rsid w:val="00E01959"/>
    <w:rsid w:val="00E03F3E"/>
    <w:rsid w:val="00E041E9"/>
    <w:rsid w:val="00E11437"/>
    <w:rsid w:val="00E141B0"/>
    <w:rsid w:val="00E33C15"/>
    <w:rsid w:val="00E611A1"/>
    <w:rsid w:val="00E717DF"/>
    <w:rsid w:val="00E7259D"/>
    <w:rsid w:val="00E76049"/>
    <w:rsid w:val="00E8541C"/>
    <w:rsid w:val="00E92CD1"/>
    <w:rsid w:val="00E97ACD"/>
    <w:rsid w:val="00EA0E95"/>
    <w:rsid w:val="00EA2D26"/>
    <w:rsid w:val="00EB265C"/>
    <w:rsid w:val="00EC073D"/>
    <w:rsid w:val="00EC2180"/>
    <w:rsid w:val="00EC5535"/>
    <w:rsid w:val="00ED36EB"/>
    <w:rsid w:val="00ED5C6D"/>
    <w:rsid w:val="00ED5D5B"/>
    <w:rsid w:val="00EE4468"/>
    <w:rsid w:val="00F14E18"/>
    <w:rsid w:val="00F25583"/>
    <w:rsid w:val="00F3089A"/>
    <w:rsid w:val="00F31690"/>
    <w:rsid w:val="00F33028"/>
    <w:rsid w:val="00F33C4C"/>
    <w:rsid w:val="00F40784"/>
    <w:rsid w:val="00F46293"/>
    <w:rsid w:val="00F469A6"/>
    <w:rsid w:val="00F472B0"/>
    <w:rsid w:val="00F50CF0"/>
    <w:rsid w:val="00F539B9"/>
    <w:rsid w:val="00F547EB"/>
    <w:rsid w:val="00F602B8"/>
    <w:rsid w:val="00F62CCE"/>
    <w:rsid w:val="00F714FF"/>
    <w:rsid w:val="00F8256A"/>
    <w:rsid w:val="00F877C4"/>
    <w:rsid w:val="00F87DC3"/>
    <w:rsid w:val="00F96067"/>
    <w:rsid w:val="00F9734D"/>
    <w:rsid w:val="00FA29B8"/>
    <w:rsid w:val="00FA54DA"/>
    <w:rsid w:val="00FA7AD9"/>
    <w:rsid w:val="00FA7AFF"/>
    <w:rsid w:val="00FB015B"/>
    <w:rsid w:val="00FB5CAB"/>
    <w:rsid w:val="00FC390A"/>
    <w:rsid w:val="00FE2214"/>
    <w:rsid w:val="00FE33BE"/>
    <w:rsid w:val="00FF2F8E"/>
    <w:rsid w:val="00FF3947"/>
    <w:rsid w:val="00FF3CA6"/>
    <w:rsid w:val="00FF62B0"/>
    <w:rsid w:val="00FF75C5"/>
    <w:rsid w:val="09BE6B10"/>
    <w:rsid w:val="19E77CB7"/>
    <w:rsid w:val="5E5754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keepNext/>
      <w:keepLines/>
      <w:spacing w:afterLines="50" w:line="280" w:lineRule="exact"/>
      <w:jc w:val="center"/>
      <w:outlineLvl w:val="0"/>
    </w:pPr>
    <w:rPr>
      <w:rFonts w:ascii="Times New Roman" w:hAnsi="Times New Roman"/>
      <w:b/>
      <w:bCs/>
      <w:kern w:val="44"/>
      <w:sz w:val="28"/>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3"/>
    <w:uiPriority w:val="99"/>
    <w:pPr>
      <w:spacing w:after="120"/>
    </w:pPr>
    <w:rPr>
      <w:rFonts w:ascii="Times New Roman" w:hAnsi="Times New Roman" w:eastAsia="楷体_GB2312"/>
      <w:sz w:val="28"/>
      <w:szCs w:val="20"/>
    </w:rPr>
  </w:style>
  <w:style w:type="paragraph" w:styleId="4">
    <w:name w:val="Balloon Text"/>
    <w:basedOn w:val="1"/>
    <w:link w:val="15"/>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locked/>
    <w:uiPriority w:val="99"/>
    <w:rPr>
      <w:rFonts w:cs="Times New Roman"/>
      <w:b/>
      <w:bCs/>
    </w:rPr>
  </w:style>
  <w:style w:type="character" w:customStyle="1" w:styleId="12">
    <w:name w:val="标题 1 Char"/>
    <w:link w:val="2"/>
    <w:qFormat/>
    <w:locked/>
    <w:uiPriority w:val="99"/>
    <w:rPr>
      <w:rFonts w:ascii="Times New Roman" w:hAnsi="Times New Roman" w:eastAsia="宋体" w:cs="Times New Roman"/>
      <w:b/>
      <w:bCs/>
      <w:kern w:val="44"/>
      <w:sz w:val="44"/>
      <w:szCs w:val="44"/>
    </w:rPr>
  </w:style>
  <w:style w:type="character" w:customStyle="1" w:styleId="13">
    <w:name w:val="正文文本 Char"/>
    <w:link w:val="3"/>
    <w:qFormat/>
    <w:locked/>
    <w:uiPriority w:val="99"/>
    <w:rPr>
      <w:rFonts w:ascii="Times New Roman" w:hAnsi="Times New Roman" w:eastAsia="楷体_GB2312" w:cs="Times New Roman"/>
      <w:sz w:val="20"/>
      <w:szCs w:val="20"/>
    </w:rPr>
  </w:style>
  <w:style w:type="paragraph" w:styleId="14">
    <w:name w:val="List Paragraph"/>
    <w:basedOn w:val="1"/>
    <w:qFormat/>
    <w:uiPriority w:val="99"/>
    <w:pPr>
      <w:ind w:firstLine="420" w:firstLineChars="200"/>
    </w:pPr>
  </w:style>
  <w:style w:type="character" w:customStyle="1" w:styleId="15">
    <w:name w:val="批注框文本 Char"/>
    <w:link w:val="4"/>
    <w:semiHidden/>
    <w:qFormat/>
    <w:uiPriority w:val="99"/>
    <w:rPr>
      <w:kern w:val="2"/>
      <w:sz w:val="18"/>
      <w:szCs w:val="18"/>
    </w:rPr>
  </w:style>
  <w:style w:type="character" w:customStyle="1" w:styleId="16">
    <w:name w:val="fontstyle01"/>
    <w:qFormat/>
    <w:uiPriority w:val="0"/>
    <w:rPr>
      <w:rFonts w:hint="default" w:ascii="FZXBSJW--GB1-0" w:hAnsi="FZXBSJW--GB1-0"/>
      <w:color w:val="000000"/>
      <w:sz w:val="44"/>
      <w:szCs w:val="44"/>
    </w:rPr>
  </w:style>
  <w:style w:type="character" w:customStyle="1" w:styleId="17">
    <w:name w:val="页眉 Char"/>
    <w:link w:val="6"/>
    <w:qFormat/>
    <w:uiPriority w:val="99"/>
    <w:rPr>
      <w:kern w:val="2"/>
      <w:sz w:val="18"/>
      <w:szCs w:val="18"/>
    </w:rPr>
  </w:style>
  <w:style w:type="character" w:customStyle="1" w:styleId="18">
    <w:name w:val="页脚 Char"/>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2D3A5A-3DFB-4713-902C-3C5514AC525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2486</Words>
  <Characters>14176</Characters>
  <Lines>118</Lines>
  <Paragraphs>33</Paragraphs>
  <TotalTime>1</TotalTime>
  <ScaleCrop>false</ScaleCrop>
  <LinksUpToDate>false</LinksUpToDate>
  <CharactersWithSpaces>16629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2016-01-07T03:15:00Z</dcterms:created>
  <dc:creator>姜黎</dc:creator>
  <cp:lastModifiedBy>Administrator</cp:lastModifiedBy>
  <cp:lastPrinted>2019-08-20T06:06:00Z</cp:lastPrinted>
  <dcterms:modified xsi:type="dcterms:W3CDTF">2021-03-17T04:08:23Z</dcterms:modified>
  <dc:title>食品质量与安全专业人才培养方案</dc:title>
  <cp:revision>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38D4B5B739844DB4B579072494AB87D0</vt:lpwstr>
  </property>
</Properties>
</file>